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EDFE" w14:textId="77777777" w:rsidR="00877F65" w:rsidRPr="00877F65" w:rsidRDefault="0040163F" w:rsidP="0040163F">
      <w:pPr>
        <w:jc w:val="both"/>
        <w:rPr>
          <w:sz w:val="28"/>
          <w:szCs w:val="20"/>
        </w:rPr>
      </w:pPr>
      <w:r>
        <w:rPr>
          <w:noProof/>
          <w:sz w:val="28"/>
          <w:szCs w:val="20"/>
        </w:rPr>
        <w:drawing>
          <wp:anchor distT="0" distB="0" distL="114300" distR="114300" simplePos="0" relativeHeight="251658240" behindDoc="1" locked="0" layoutInCell="1" allowOverlap="1" wp14:anchorId="358C47EE" wp14:editId="61B038D2">
            <wp:simplePos x="0" y="0"/>
            <wp:positionH relativeFrom="page">
              <wp:posOffset>3147</wp:posOffset>
            </wp:positionH>
            <wp:positionV relativeFrom="page">
              <wp:posOffset>779228</wp:posOffset>
            </wp:positionV>
            <wp:extent cx="7773229" cy="925499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773035" cy="9254762"/>
                    </a:xfrm>
                    <a:prstGeom prst="rect">
                      <a:avLst/>
                    </a:prstGeom>
                    <a:noFill/>
                    <a:ln w="9525">
                      <a:noFill/>
                      <a:miter lim="800000"/>
                      <a:headEnd/>
                      <a:tailEnd/>
                    </a:ln>
                  </pic:spPr>
                </pic:pic>
              </a:graphicData>
            </a:graphic>
          </wp:anchor>
        </w:drawing>
      </w:r>
      <w:r w:rsidR="001F7132">
        <w:rPr>
          <w:sz w:val="28"/>
          <w:szCs w:val="20"/>
        </w:rPr>
        <w:t xml:space="preserve">Money Laundering &amp; Real Estate </w:t>
      </w:r>
    </w:p>
    <w:p w14:paraId="1C79EEF6" w14:textId="77777777" w:rsidR="00DC2FF5" w:rsidRDefault="001F7132" w:rsidP="0040163F">
      <w:pPr>
        <w:ind w:right="1890"/>
        <w:jc w:val="both"/>
        <w:rPr>
          <w:sz w:val="20"/>
          <w:szCs w:val="20"/>
        </w:rPr>
      </w:pPr>
      <w:r>
        <w:rPr>
          <w:sz w:val="20"/>
          <w:szCs w:val="20"/>
        </w:rPr>
        <w:t>Since January</w:t>
      </w:r>
      <w:r w:rsidR="00A8304A" w:rsidRPr="00793073">
        <w:rPr>
          <w:sz w:val="20"/>
          <w:szCs w:val="20"/>
        </w:rPr>
        <w:t xml:space="preserve"> 2016, the Financial Crimes Enforcement Network (FinCEN), </w:t>
      </w:r>
      <w:r>
        <w:rPr>
          <w:color w:val="000000"/>
          <w:sz w:val="20"/>
          <w:szCs w:val="20"/>
        </w:rPr>
        <w:t>required title companies to collect and report beneficial ownership information on certain real estate transactions. These</w:t>
      </w:r>
      <w:r w:rsidR="00A8304A" w:rsidRPr="00793073">
        <w:rPr>
          <w:sz w:val="20"/>
          <w:szCs w:val="20"/>
        </w:rPr>
        <w:t xml:space="preserve"> Geographic Targeting Orders</w:t>
      </w:r>
      <w:r w:rsidR="004C5A95">
        <w:rPr>
          <w:sz w:val="20"/>
          <w:szCs w:val="20"/>
        </w:rPr>
        <w:t xml:space="preserve"> </w:t>
      </w:r>
      <w:r>
        <w:rPr>
          <w:sz w:val="20"/>
          <w:szCs w:val="20"/>
        </w:rPr>
        <w:t>apply to</w:t>
      </w:r>
      <w:r w:rsidR="004C5A95">
        <w:rPr>
          <w:sz w:val="20"/>
          <w:szCs w:val="20"/>
        </w:rPr>
        <w:t xml:space="preserve"> all title </w:t>
      </w:r>
      <w:r>
        <w:rPr>
          <w:sz w:val="20"/>
          <w:szCs w:val="20"/>
        </w:rPr>
        <w:t>insurers, their</w:t>
      </w:r>
      <w:r w:rsidR="004C5A95" w:rsidRPr="004C5A95">
        <w:rPr>
          <w:color w:val="000000"/>
          <w:sz w:val="20"/>
          <w:szCs w:val="20"/>
        </w:rPr>
        <w:t xml:space="preserve"> subsidiaries and agents of </w:t>
      </w:r>
      <w:r w:rsidR="004C5A95">
        <w:rPr>
          <w:color w:val="000000"/>
          <w:sz w:val="20"/>
          <w:szCs w:val="20"/>
        </w:rPr>
        <w:t>(“Covered Business”)</w:t>
      </w:r>
      <w:r>
        <w:rPr>
          <w:color w:val="000000"/>
          <w:sz w:val="20"/>
          <w:szCs w:val="20"/>
        </w:rPr>
        <w:t>.</w:t>
      </w:r>
    </w:p>
    <w:p w14:paraId="4993230E" w14:textId="7F7671B9" w:rsidR="000173B9" w:rsidRDefault="00F81ED4" w:rsidP="0040163F">
      <w:pPr>
        <w:pStyle w:val="ListParagraph"/>
        <w:numPr>
          <w:ilvl w:val="0"/>
          <w:numId w:val="3"/>
        </w:numPr>
        <w:jc w:val="both"/>
        <w:rPr>
          <w:sz w:val="20"/>
          <w:szCs w:val="20"/>
        </w:rPr>
      </w:pPr>
      <w:r w:rsidRPr="00877F65">
        <w:rPr>
          <w:sz w:val="20"/>
          <w:szCs w:val="20"/>
        </w:rPr>
        <w:t xml:space="preserve">Read </w:t>
      </w:r>
      <w:r w:rsidRPr="004C5A95">
        <w:rPr>
          <w:sz w:val="20"/>
          <w:szCs w:val="20"/>
        </w:rPr>
        <w:t>FinCEN’s</w:t>
      </w:r>
      <w:r w:rsidR="00E46B2A">
        <w:rPr>
          <w:sz w:val="20"/>
          <w:szCs w:val="20"/>
        </w:rPr>
        <w:t xml:space="preserve"> </w:t>
      </w:r>
      <w:hyperlink r:id="rId8" w:history="1">
        <w:r w:rsidR="00E46B2A" w:rsidRPr="00E46B2A">
          <w:rPr>
            <w:rStyle w:val="Hyperlink"/>
            <w:sz w:val="20"/>
            <w:szCs w:val="20"/>
          </w:rPr>
          <w:t>Advisory</w:t>
        </w:r>
      </w:hyperlink>
      <w:bookmarkStart w:id="0" w:name="_GoBack"/>
      <w:bookmarkEnd w:id="0"/>
      <w:r w:rsidRPr="004C5A95">
        <w:rPr>
          <w:sz w:val="20"/>
          <w:szCs w:val="20"/>
        </w:rPr>
        <w:t xml:space="preserve"> </w:t>
      </w:r>
    </w:p>
    <w:p w14:paraId="2CB4ACA0" w14:textId="77777777" w:rsidR="000173B9" w:rsidRDefault="00F81ED4" w:rsidP="0040163F">
      <w:pPr>
        <w:pStyle w:val="ListParagraph"/>
        <w:numPr>
          <w:ilvl w:val="0"/>
          <w:numId w:val="3"/>
        </w:numPr>
        <w:jc w:val="both"/>
        <w:rPr>
          <w:sz w:val="20"/>
          <w:szCs w:val="20"/>
        </w:rPr>
      </w:pPr>
      <w:r w:rsidRPr="00877F65">
        <w:rPr>
          <w:sz w:val="20"/>
          <w:szCs w:val="20"/>
        </w:rPr>
        <w:t xml:space="preserve">Read ALTA’s </w:t>
      </w:r>
      <w:hyperlink r:id="rId9" w:history="1">
        <w:r w:rsidR="004C5A95" w:rsidRPr="004C5A95">
          <w:rPr>
            <w:rStyle w:val="Hyperlink"/>
            <w:sz w:val="20"/>
            <w:szCs w:val="20"/>
          </w:rPr>
          <w:t>b</w:t>
        </w:r>
        <w:r w:rsidRPr="004C5A95">
          <w:rPr>
            <w:rStyle w:val="Hyperlink"/>
            <w:sz w:val="20"/>
            <w:szCs w:val="20"/>
          </w:rPr>
          <w:t xml:space="preserve">ackground </w:t>
        </w:r>
        <w:r w:rsidR="00877F65" w:rsidRPr="004C5A95">
          <w:rPr>
            <w:rStyle w:val="Hyperlink"/>
            <w:sz w:val="20"/>
            <w:szCs w:val="20"/>
          </w:rPr>
          <w:t>a</w:t>
        </w:r>
        <w:r w:rsidRPr="004C5A95">
          <w:rPr>
            <w:rStyle w:val="Hyperlink"/>
            <w:sz w:val="20"/>
            <w:szCs w:val="20"/>
          </w:rPr>
          <w:t>rticle</w:t>
        </w:r>
      </w:hyperlink>
      <w:r w:rsidR="004C5A95">
        <w:rPr>
          <w:sz w:val="20"/>
          <w:szCs w:val="20"/>
        </w:rPr>
        <w:t xml:space="preserve"> &amp; </w:t>
      </w:r>
      <w:hyperlink r:id="rId10" w:history="1">
        <w:r w:rsidR="004C5A95" w:rsidRPr="004C5A95">
          <w:rPr>
            <w:rStyle w:val="Hyperlink"/>
            <w:sz w:val="20"/>
            <w:szCs w:val="20"/>
          </w:rPr>
          <w:t>statement</w:t>
        </w:r>
      </w:hyperlink>
    </w:p>
    <w:p w14:paraId="2A4F361E" w14:textId="77777777" w:rsidR="00A8304A" w:rsidRPr="00E03106" w:rsidRDefault="00A8304A" w:rsidP="0040163F">
      <w:pPr>
        <w:jc w:val="both"/>
        <w:rPr>
          <w:i/>
          <w:sz w:val="20"/>
          <w:szCs w:val="20"/>
          <w:u w:val="single"/>
        </w:rPr>
      </w:pPr>
      <w:r>
        <w:rPr>
          <w:i/>
          <w:sz w:val="20"/>
          <w:szCs w:val="20"/>
          <w:u w:val="single"/>
        </w:rPr>
        <w:t xml:space="preserve">I.  </w:t>
      </w:r>
      <w:r w:rsidRPr="00E03106">
        <w:rPr>
          <w:i/>
          <w:sz w:val="20"/>
          <w:szCs w:val="20"/>
          <w:u w:val="single"/>
        </w:rPr>
        <w:t>The Basics</w:t>
      </w:r>
    </w:p>
    <w:p w14:paraId="3BDBD505" w14:textId="77777777" w:rsidR="00A8304A" w:rsidRDefault="0040163F" w:rsidP="0040163F">
      <w:pPr>
        <w:jc w:val="both"/>
        <w:rPr>
          <w:b/>
          <w:sz w:val="20"/>
          <w:szCs w:val="20"/>
        </w:rPr>
      </w:pPr>
      <w:r>
        <w:rPr>
          <w:b/>
          <w:smallCaps/>
          <w:noProof/>
          <w:sz w:val="20"/>
          <w:szCs w:val="20"/>
        </w:rPr>
        <w:drawing>
          <wp:anchor distT="0" distB="0" distL="114300" distR="114300" simplePos="0" relativeHeight="251659264" behindDoc="1" locked="0" layoutInCell="1" allowOverlap="1" wp14:anchorId="4080B571" wp14:editId="24BD9222">
            <wp:simplePos x="0" y="0"/>
            <wp:positionH relativeFrom="column">
              <wp:posOffset>3633470</wp:posOffset>
            </wp:positionH>
            <wp:positionV relativeFrom="paragraph">
              <wp:posOffset>45085</wp:posOffset>
            </wp:positionV>
            <wp:extent cx="3355340" cy="2011680"/>
            <wp:effectExtent l="0" t="0" r="0" b="0"/>
            <wp:wrapNone/>
            <wp:docPr id="1" name="Picture 1" descr="https://media.coindesk.com/uploads/2013/05/FINCEN-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coindesk.com/uploads/2013/05/FINCEN-21.png"/>
                    <pic:cNvPicPr>
                      <a:picLocks noChangeAspect="1" noChangeArrowheads="1"/>
                    </pic:cNvPicPr>
                  </pic:nvPicPr>
                  <pic:blipFill>
                    <a:blip r:embed="rId11" cstate="print"/>
                    <a:srcRect/>
                    <a:stretch>
                      <a:fillRect/>
                    </a:stretch>
                  </pic:blipFill>
                  <pic:spPr bwMode="auto">
                    <a:xfrm>
                      <a:off x="0" y="0"/>
                      <a:ext cx="3355340" cy="2011680"/>
                    </a:xfrm>
                    <a:prstGeom prst="rect">
                      <a:avLst/>
                    </a:prstGeom>
                    <a:noFill/>
                    <a:ln w="9525">
                      <a:noFill/>
                      <a:miter lim="800000"/>
                      <a:headEnd/>
                      <a:tailEnd/>
                    </a:ln>
                  </pic:spPr>
                </pic:pic>
              </a:graphicData>
            </a:graphic>
          </wp:anchor>
        </w:drawing>
      </w:r>
      <w:r w:rsidR="00A8304A" w:rsidRPr="00AB7A10">
        <w:rPr>
          <w:b/>
          <w:smallCaps/>
          <w:sz w:val="20"/>
          <w:szCs w:val="20"/>
        </w:rPr>
        <w:t>What is FinCEN</w:t>
      </w:r>
      <w:r w:rsidR="00A8304A" w:rsidRPr="00E03106">
        <w:rPr>
          <w:b/>
          <w:sz w:val="20"/>
          <w:szCs w:val="20"/>
        </w:rPr>
        <w:t>?</w:t>
      </w:r>
    </w:p>
    <w:p w14:paraId="7B87FC86" w14:textId="77777777" w:rsidR="00F81ED4" w:rsidRPr="00E03106" w:rsidRDefault="00F81ED4" w:rsidP="0040163F">
      <w:pPr>
        <w:ind w:right="2430"/>
        <w:jc w:val="both"/>
        <w:rPr>
          <w:sz w:val="20"/>
          <w:szCs w:val="20"/>
        </w:rPr>
      </w:pPr>
      <w:r w:rsidRPr="00E03106">
        <w:rPr>
          <w:sz w:val="20"/>
          <w:szCs w:val="20"/>
        </w:rPr>
        <w:t>Established in 1990, FinCEN is a bureau of the U.S. Department of the Treasury</w:t>
      </w:r>
      <w:r>
        <w:rPr>
          <w:sz w:val="20"/>
          <w:szCs w:val="20"/>
        </w:rPr>
        <w:t xml:space="preserve">. </w:t>
      </w:r>
      <w:r w:rsidRPr="00E03106">
        <w:rPr>
          <w:sz w:val="20"/>
          <w:szCs w:val="20"/>
        </w:rPr>
        <w:t xml:space="preserve"> </w:t>
      </w:r>
      <w:r w:rsidR="009E2453">
        <w:rPr>
          <w:sz w:val="20"/>
          <w:szCs w:val="20"/>
        </w:rPr>
        <w:t>Its</w:t>
      </w:r>
      <w:r w:rsidR="009E2453" w:rsidRPr="00E03106">
        <w:rPr>
          <w:sz w:val="20"/>
          <w:szCs w:val="20"/>
        </w:rPr>
        <w:t xml:space="preserve"> </w:t>
      </w:r>
      <w:r w:rsidRPr="00E03106">
        <w:rPr>
          <w:sz w:val="20"/>
          <w:szCs w:val="20"/>
        </w:rPr>
        <w:t>mission is “to safeguard the financial system from illicit use and combat money laundering and promote national security through the collection, analysis, and dissemination of financial intelligence and strategic use of financial authorities.” FinCEN fulfills its mission by receiving and maintaining financial transactions data</w:t>
      </w:r>
      <w:r>
        <w:rPr>
          <w:sz w:val="20"/>
          <w:szCs w:val="20"/>
        </w:rPr>
        <w:t>,</w:t>
      </w:r>
      <w:r w:rsidRPr="00E03106">
        <w:rPr>
          <w:sz w:val="20"/>
          <w:szCs w:val="20"/>
        </w:rPr>
        <w:t xml:space="preserve"> analyzing and disseminating that data for law enforcement purposes</w:t>
      </w:r>
      <w:r>
        <w:rPr>
          <w:sz w:val="20"/>
          <w:szCs w:val="20"/>
        </w:rPr>
        <w:t>,</w:t>
      </w:r>
      <w:r w:rsidRPr="00E03106">
        <w:rPr>
          <w:sz w:val="20"/>
          <w:szCs w:val="20"/>
        </w:rPr>
        <w:t xml:space="preserve"> and building global cooperation with counterpart organizations in other countries and with international bodies. FinCEN’s authority comes from the Currency and Financial Transactions Reporting Act of 1970, as amended by Title III of the USA PATRIOT Act of 2001 and other legislation. This legislative framework is commonly referred to as the Bank Secrecy Act (BSA). </w:t>
      </w:r>
    </w:p>
    <w:p w14:paraId="2AEFAD79" w14:textId="77777777" w:rsidR="00A8304A" w:rsidRDefault="00A8304A" w:rsidP="0040163F">
      <w:pPr>
        <w:jc w:val="both"/>
        <w:rPr>
          <w:sz w:val="20"/>
          <w:szCs w:val="20"/>
        </w:rPr>
      </w:pPr>
      <w:r w:rsidRPr="00AB7A10">
        <w:rPr>
          <w:b/>
          <w:smallCaps/>
          <w:sz w:val="20"/>
          <w:szCs w:val="20"/>
        </w:rPr>
        <w:t>What is the Bank Secrecy Act</w:t>
      </w:r>
      <w:r w:rsidRPr="00E03106">
        <w:rPr>
          <w:b/>
          <w:sz w:val="20"/>
          <w:szCs w:val="20"/>
        </w:rPr>
        <w:t>?</w:t>
      </w:r>
      <w:r w:rsidRPr="00E03106">
        <w:rPr>
          <w:sz w:val="20"/>
          <w:szCs w:val="20"/>
        </w:rPr>
        <w:t xml:space="preserve"> </w:t>
      </w:r>
    </w:p>
    <w:p w14:paraId="47DEBA1F" w14:textId="77777777" w:rsidR="00F81ED4" w:rsidRPr="00E03106" w:rsidRDefault="00F81ED4" w:rsidP="0040163F">
      <w:pPr>
        <w:jc w:val="both"/>
        <w:rPr>
          <w:rStyle w:val="apple-converted-space"/>
          <w:rFonts w:cs="Arial"/>
          <w:color w:val="000000"/>
          <w:sz w:val="20"/>
          <w:szCs w:val="20"/>
        </w:rPr>
      </w:pPr>
      <w:r w:rsidRPr="00E03106">
        <w:rPr>
          <w:sz w:val="20"/>
          <w:szCs w:val="20"/>
        </w:rPr>
        <w:t>The Bank Secrecy Act (BSA) is the primary U.S. anti-money laundering (AML) law and tool for detecting, deterring and disrupting terrorist financing networks. The BSA authorizes the Secretary of the Treasury to issue regulations requiring banks and other financial institutions to take a number of precautions against financial crime, including the establishment of anti</w:t>
      </w:r>
      <w:r>
        <w:rPr>
          <w:sz w:val="20"/>
          <w:szCs w:val="20"/>
        </w:rPr>
        <w:t>-</w:t>
      </w:r>
      <w:r w:rsidRPr="00E03106">
        <w:rPr>
          <w:sz w:val="20"/>
          <w:szCs w:val="20"/>
        </w:rPr>
        <w:t xml:space="preserve">money laundering programs and the filing of reports that have been determined to have a high degree of usefulness in criminal, tax, and regulatory investigations and proceedings, and certain intelligence and counter-terrorism matters. See </w:t>
      </w:r>
      <w:hyperlink r:id="rId12" w:history="1">
        <w:r w:rsidRPr="00E03106">
          <w:rPr>
            <w:rStyle w:val="Hyperlink"/>
            <w:rFonts w:cs="Arial"/>
            <w:b/>
            <w:bCs/>
            <w:color w:val="0470D2"/>
            <w:sz w:val="20"/>
            <w:szCs w:val="20"/>
            <w:u w:val="none"/>
          </w:rPr>
          <w:t>31 U.S.C. 310</w:t>
        </w:r>
      </w:hyperlink>
      <w:r w:rsidRPr="00E03106">
        <w:rPr>
          <w:rStyle w:val="apple-converted-space"/>
          <w:rFonts w:cs="Arial"/>
          <w:color w:val="000000"/>
          <w:sz w:val="20"/>
          <w:szCs w:val="20"/>
        </w:rPr>
        <w:t>.</w:t>
      </w:r>
    </w:p>
    <w:p w14:paraId="469715D2" w14:textId="77777777" w:rsidR="00A8304A" w:rsidRDefault="00A8304A" w:rsidP="0040163F">
      <w:pPr>
        <w:jc w:val="both"/>
        <w:rPr>
          <w:sz w:val="20"/>
          <w:szCs w:val="20"/>
        </w:rPr>
      </w:pPr>
      <w:r w:rsidRPr="00AB7A10">
        <w:rPr>
          <w:b/>
          <w:smallCaps/>
          <w:sz w:val="20"/>
          <w:szCs w:val="20"/>
        </w:rPr>
        <w:t>What is money laundering</w:t>
      </w:r>
      <w:r w:rsidRPr="00E03106">
        <w:rPr>
          <w:b/>
          <w:sz w:val="20"/>
          <w:szCs w:val="20"/>
        </w:rPr>
        <w:t>?</w:t>
      </w:r>
    </w:p>
    <w:p w14:paraId="2D2CFBF9" w14:textId="77777777" w:rsidR="00F81ED4" w:rsidRDefault="00F81ED4" w:rsidP="0040163F">
      <w:pPr>
        <w:jc w:val="both"/>
        <w:rPr>
          <w:sz w:val="20"/>
          <w:szCs w:val="20"/>
        </w:rPr>
      </w:pPr>
      <w:r w:rsidRPr="00E03106">
        <w:rPr>
          <w:sz w:val="20"/>
          <w:szCs w:val="20"/>
        </w:rPr>
        <w:t xml:space="preserve">Money laundering </w:t>
      </w:r>
      <w:r>
        <w:rPr>
          <w:sz w:val="20"/>
          <w:szCs w:val="20"/>
        </w:rPr>
        <w:t>is the process of</w:t>
      </w:r>
      <w:r w:rsidRPr="00E03106">
        <w:rPr>
          <w:sz w:val="20"/>
          <w:szCs w:val="20"/>
        </w:rPr>
        <w:t xml:space="preserve"> disguising financial assets </w:t>
      </w:r>
      <w:r>
        <w:rPr>
          <w:sz w:val="20"/>
          <w:szCs w:val="20"/>
        </w:rPr>
        <w:t xml:space="preserve">produced through illegal activity. </w:t>
      </w:r>
      <w:r w:rsidRPr="00E03106">
        <w:rPr>
          <w:sz w:val="20"/>
          <w:szCs w:val="20"/>
        </w:rPr>
        <w:t xml:space="preserve">Through money laundering, the monetary proceeds derived from criminal activity </w:t>
      </w:r>
      <w:r>
        <w:rPr>
          <w:sz w:val="20"/>
          <w:szCs w:val="20"/>
        </w:rPr>
        <w:t xml:space="preserve">are transformed </w:t>
      </w:r>
      <w:r w:rsidRPr="00E03106">
        <w:rPr>
          <w:sz w:val="20"/>
          <w:szCs w:val="20"/>
        </w:rPr>
        <w:t>into funds with an apparently legal source.</w:t>
      </w:r>
    </w:p>
    <w:p w14:paraId="31CB3B67" w14:textId="77777777" w:rsidR="001F7132" w:rsidRDefault="001F7132" w:rsidP="0040163F">
      <w:pPr>
        <w:jc w:val="both"/>
        <w:rPr>
          <w:sz w:val="20"/>
          <w:szCs w:val="20"/>
        </w:rPr>
      </w:pPr>
    </w:p>
    <w:p w14:paraId="5CB29DE1" w14:textId="77777777" w:rsidR="001F7132" w:rsidRDefault="001F7132" w:rsidP="0040163F">
      <w:pPr>
        <w:jc w:val="both"/>
        <w:rPr>
          <w:sz w:val="20"/>
          <w:szCs w:val="20"/>
        </w:rPr>
      </w:pPr>
    </w:p>
    <w:p w14:paraId="4B5FBB2C" w14:textId="77777777" w:rsidR="001F7132" w:rsidRDefault="001F7132" w:rsidP="0040163F">
      <w:pPr>
        <w:jc w:val="both"/>
        <w:rPr>
          <w:sz w:val="20"/>
          <w:szCs w:val="20"/>
        </w:rPr>
      </w:pPr>
    </w:p>
    <w:p w14:paraId="329C592F" w14:textId="77777777" w:rsidR="001F7132" w:rsidRDefault="001F7132" w:rsidP="0040163F">
      <w:pPr>
        <w:jc w:val="both"/>
        <w:rPr>
          <w:sz w:val="20"/>
          <w:szCs w:val="20"/>
        </w:rPr>
      </w:pPr>
    </w:p>
    <w:p w14:paraId="33161D84" w14:textId="77777777" w:rsidR="00A8304A" w:rsidRPr="00E03106" w:rsidRDefault="00A8304A" w:rsidP="0040163F">
      <w:pPr>
        <w:jc w:val="both"/>
        <w:rPr>
          <w:i/>
          <w:sz w:val="20"/>
          <w:szCs w:val="20"/>
          <w:u w:val="single"/>
        </w:rPr>
      </w:pPr>
      <w:r>
        <w:rPr>
          <w:i/>
          <w:sz w:val="20"/>
          <w:szCs w:val="20"/>
        </w:rPr>
        <w:lastRenderedPageBreak/>
        <w:t xml:space="preserve">II. </w:t>
      </w:r>
      <w:r>
        <w:rPr>
          <w:i/>
          <w:sz w:val="20"/>
          <w:szCs w:val="20"/>
          <w:u w:val="single"/>
        </w:rPr>
        <w:t xml:space="preserve">Geographic Targeting Orders </w:t>
      </w:r>
    </w:p>
    <w:p w14:paraId="727728B1" w14:textId="77777777" w:rsidR="00A8304A" w:rsidRDefault="00A8304A" w:rsidP="0040163F">
      <w:pPr>
        <w:jc w:val="both"/>
        <w:rPr>
          <w:b/>
          <w:sz w:val="20"/>
          <w:szCs w:val="20"/>
        </w:rPr>
      </w:pPr>
      <w:r w:rsidRPr="00AB7A10">
        <w:rPr>
          <w:b/>
          <w:smallCaps/>
          <w:sz w:val="20"/>
          <w:szCs w:val="20"/>
        </w:rPr>
        <w:t>What is a Geographic Targeting Order (GTO)?</w:t>
      </w:r>
    </w:p>
    <w:p w14:paraId="6061030A" w14:textId="77777777" w:rsidR="00F81ED4" w:rsidRDefault="00F81ED4" w:rsidP="0040163F">
      <w:pPr>
        <w:jc w:val="both"/>
        <w:rPr>
          <w:sz w:val="20"/>
          <w:szCs w:val="20"/>
        </w:rPr>
      </w:pPr>
      <w:r w:rsidRPr="000E388F">
        <w:rPr>
          <w:sz w:val="20"/>
          <w:szCs w:val="20"/>
        </w:rPr>
        <w:t xml:space="preserve">Under </w:t>
      </w:r>
      <w:r>
        <w:rPr>
          <w:sz w:val="20"/>
          <w:szCs w:val="20"/>
        </w:rPr>
        <w:t xml:space="preserve">the BSA, the </w:t>
      </w:r>
      <w:r w:rsidR="009E2453">
        <w:rPr>
          <w:sz w:val="20"/>
          <w:szCs w:val="20"/>
        </w:rPr>
        <w:t>d</w:t>
      </w:r>
      <w:r>
        <w:rPr>
          <w:sz w:val="20"/>
          <w:szCs w:val="20"/>
        </w:rPr>
        <w:t>irector of FinCEN can</w:t>
      </w:r>
      <w:r w:rsidRPr="000E388F">
        <w:rPr>
          <w:sz w:val="20"/>
          <w:szCs w:val="20"/>
        </w:rPr>
        <w:t xml:space="preserve"> issue orders imposing additional recordkeeping and reporting requirements on domestic financial institutions or non-financial trades or businesses in a </w:t>
      </w:r>
      <w:r>
        <w:rPr>
          <w:sz w:val="20"/>
          <w:szCs w:val="20"/>
        </w:rPr>
        <w:t xml:space="preserve">specific </w:t>
      </w:r>
      <w:r w:rsidRPr="000E388F">
        <w:rPr>
          <w:sz w:val="20"/>
          <w:szCs w:val="20"/>
        </w:rPr>
        <w:t>geographic area</w:t>
      </w:r>
      <w:r>
        <w:rPr>
          <w:sz w:val="20"/>
          <w:szCs w:val="20"/>
        </w:rPr>
        <w:t xml:space="preserve"> for transactions involving certain amounts of United States currency or monetary instruments. These orders can be in effect for up to 180 days. </w:t>
      </w:r>
      <w:r w:rsidRPr="000E388F">
        <w:rPr>
          <w:sz w:val="20"/>
          <w:szCs w:val="20"/>
        </w:rPr>
        <w:t>See 31 U.S.C. § 5326(a); 31 C.F.R. § 1010.370</w:t>
      </w:r>
      <w:r>
        <w:rPr>
          <w:sz w:val="20"/>
          <w:szCs w:val="20"/>
        </w:rPr>
        <w:t>.</w:t>
      </w:r>
    </w:p>
    <w:p w14:paraId="04BE707A" w14:textId="77777777" w:rsidR="00A8304A" w:rsidRDefault="00A8304A" w:rsidP="0040163F">
      <w:pPr>
        <w:jc w:val="both"/>
        <w:rPr>
          <w:b/>
          <w:sz w:val="20"/>
          <w:szCs w:val="20"/>
        </w:rPr>
      </w:pPr>
      <w:r w:rsidRPr="00AB7A10">
        <w:rPr>
          <w:b/>
          <w:smallCaps/>
          <w:sz w:val="20"/>
          <w:szCs w:val="20"/>
        </w:rPr>
        <w:t>How is a GTO different from cash transaction reporting</w:t>
      </w:r>
      <w:r>
        <w:rPr>
          <w:b/>
          <w:sz w:val="20"/>
          <w:szCs w:val="20"/>
        </w:rPr>
        <w:t>?</w:t>
      </w:r>
    </w:p>
    <w:p w14:paraId="18EDA3A2" w14:textId="77777777" w:rsidR="00F81ED4" w:rsidRDefault="001F7132" w:rsidP="0040163F">
      <w:pPr>
        <w:jc w:val="both"/>
        <w:rPr>
          <w:sz w:val="20"/>
          <w:szCs w:val="20"/>
        </w:rPr>
      </w:pPr>
      <w:r>
        <w:rPr>
          <w:sz w:val="20"/>
          <w:szCs w:val="20"/>
        </w:rPr>
        <w:t>A</w:t>
      </w:r>
      <w:r w:rsidR="0040163F">
        <w:rPr>
          <w:sz w:val="20"/>
          <w:szCs w:val="20"/>
        </w:rPr>
        <w:t xml:space="preserve"> cash transaction reporting involves transactions by any business that receives more than $10,000 in currency. Under a GTO, FinCEN can set different thresholds for select business and transactions. Additionally, cash transaction reports are submitted to the IRS, while GTO reports are only sent to FinCEN through their </w:t>
      </w:r>
      <w:hyperlink r:id="rId13" w:history="1">
        <w:r w:rsidR="0040163F" w:rsidRPr="0040163F">
          <w:rPr>
            <w:rStyle w:val="Hyperlink"/>
            <w:sz w:val="20"/>
            <w:szCs w:val="20"/>
          </w:rPr>
          <w:t>e-filing system</w:t>
        </w:r>
      </w:hyperlink>
      <w:r w:rsidR="0040163F">
        <w:rPr>
          <w:sz w:val="20"/>
          <w:szCs w:val="20"/>
        </w:rPr>
        <w:t xml:space="preserve">. </w:t>
      </w:r>
    </w:p>
    <w:p w14:paraId="6FAB30E0" w14:textId="77777777" w:rsidR="00A8304A" w:rsidRDefault="00A8304A" w:rsidP="0040163F">
      <w:pPr>
        <w:jc w:val="both"/>
        <w:rPr>
          <w:sz w:val="20"/>
          <w:szCs w:val="20"/>
        </w:rPr>
      </w:pPr>
      <w:r w:rsidRPr="00AB7A10">
        <w:rPr>
          <w:b/>
          <w:smallCaps/>
          <w:sz w:val="20"/>
          <w:szCs w:val="20"/>
        </w:rPr>
        <w:t>Can a GTO be renewed after the initial 180 day period?</w:t>
      </w:r>
    </w:p>
    <w:p w14:paraId="157EF5F7" w14:textId="77777777" w:rsidR="00656531" w:rsidRPr="001F7132" w:rsidRDefault="00F81ED4" w:rsidP="001F7132">
      <w:pPr>
        <w:jc w:val="both"/>
        <w:rPr>
          <w:sz w:val="20"/>
          <w:szCs w:val="20"/>
        </w:rPr>
      </w:pPr>
      <w:r>
        <w:rPr>
          <w:sz w:val="20"/>
          <w:szCs w:val="20"/>
        </w:rPr>
        <w:t>Yes. GTOs can be renewed by the director of FinCEN following a finding that the circumstances justifying the original GTO continue to exist.</w:t>
      </w:r>
    </w:p>
    <w:p w14:paraId="42AED07C" w14:textId="77777777" w:rsidR="00A8304A" w:rsidRDefault="00A8304A" w:rsidP="0040163F">
      <w:pPr>
        <w:jc w:val="both"/>
        <w:rPr>
          <w:b/>
          <w:sz w:val="20"/>
          <w:szCs w:val="20"/>
        </w:rPr>
      </w:pPr>
      <w:r w:rsidRPr="00AB7A10">
        <w:rPr>
          <w:b/>
          <w:smallCaps/>
          <w:sz w:val="20"/>
          <w:szCs w:val="20"/>
        </w:rPr>
        <w:t>How long does a Covered Business have to report a Covered Transaction to FinCEN</w:t>
      </w:r>
      <w:r>
        <w:rPr>
          <w:b/>
          <w:sz w:val="20"/>
          <w:szCs w:val="20"/>
        </w:rPr>
        <w:t xml:space="preserve">? </w:t>
      </w:r>
    </w:p>
    <w:p w14:paraId="4780F106" w14:textId="77777777" w:rsidR="00A8304A" w:rsidRDefault="00A8304A" w:rsidP="0040163F">
      <w:pPr>
        <w:jc w:val="both"/>
        <w:rPr>
          <w:sz w:val="20"/>
          <w:szCs w:val="20"/>
        </w:rPr>
      </w:pPr>
      <w:r w:rsidRPr="00AB7A10">
        <w:rPr>
          <w:sz w:val="20"/>
          <w:szCs w:val="20"/>
        </w:rPr>
        <w:t>A Covered Business must report a Covered Transaction</w:t>
      </w:r>
      <w:r>
        <w:rPr>
          <w:b/>
          <w:sz w:val="20"/>
          <w:szCs w:val="20"/>
        </w:rPr>
        <w:t xml:space="preserve"> </w:t>
      </w:r>
      <w:r w:rsidRPr="00AB7A10">
        <w:rPr>
          <w:sz w:val="20"/>
          <w:szCs w:val="20"/>
        </w:rPr>
        <w:t>to FinCEN</w:t>
      </w:r>
      <w:r>
        <w:rPr>
          <w:b/>
          <w:sz w:val="20"/>
          <w:szCs w:val="20"/>
        </w:rPr>
        <w:t xml:space="preserve"> </w:t>
      </w:r>
      <w:r>
        <w:rPr>
          <w:sz w:val="20"/>
          <w:szCs w:val="20"/>
        </w:rPr>
        <w:t xml:space="preserve">within thirty (30) days of the closing. </w:t>
      </w:r>
    </w:p>
    <w:p w14:paraId="38AB5410" w14:textId="77777777" w:rsidR="00A8304A" w:rsidRDefault="00A8304A" w:rsidP="0040163F">
      <w:pPr>
        <w:jc w:val="both"/>
        <w:rPr>
          <w:sz w:val="20"/>
          <w:szCs w:val="20"/>
        </w:rPr>
      </w:pPr>
      <w:r w:rsidRPr="00AB7A10">
        <w:rPr>
          <w:b/>
          <w:smallCaps/>
          <w:sz w:val="20"/>
          <w:szCs w:val="20"/>
        </w:rPr>
        <w:t>How long is a Covered Business required to retain Covered Transaction records</w:t>
      </w:r>
      <w:r>
        <w:rPr>
          <w:b/>
          <w:sz w:val="20"/>
          <w:szCs w:val="20"/>
        </w:rPr>
        <w:t xml:space="preserve">? </w:t>
      </w:r>
    </w:p>
    <w:p w14:paraId="1FC4BE55" w14:textId="77777777" w:rsidR="001F7132" w:rsidRDefault="00A8304A" w:rsidP="0040163F">
      <w:pPr>
        <w:jc w:val="both"/>
        <w:rPr>
          <w:sz w:val="20"/>
          <w:szCs w:val="20"/>
        </w:rPr>
      </w:pPr>
      <w:r>
        <w:rPr>
          <w:sz w:val="20"/>
          <w:szCs w:val="20"/>
        </w:rPr>
        <w:t xml:space="preserve">All records related to compliance with the GTO must be retained for a period of five (5) years from the last day the GTO is effective.  </w:t>
      </w:r>
    </w:p>
    <w:p w14:paraId="59C69885" w14:textId="77777777" w:rsidR="00A8304A" w:rsidRDefault="00A8304A" w:rsidP="0040163F">
      <w:pPr>
        <w:jc w:val="both"/>
        <w:rPr>
          <w:b/>
          <w:sz w:val="20"/>
          <w:szCs w:val="20"/>
        </w:rPr>
      </w:pPr>
      <w:r w:rsidRPr="00AB7A10">
        <w:rPr>
          <w:b/>
          <w:smallCaps/>
          <w:sz w:val="20"/>
          <w:szCs w:val="20"/>
        </w:rPr>
        <w:t>Will the GTO stop real estate transactions from closing</w:t>
      </w:r>
      <w:r>
        <w:rPr>
          <w:b/>
          <w:sz w:val="20"/>
          <w:szCs w:val="20"/>
        </w:rPr>
        <w:t>?</w:t>
      </w:r>
    </w:p>
    <w:p w14:paraId="32D617C2" w14:textId="77777777" w:rsidR="00A8304A" w:rsidRPr="00FF7042" w:rsidRDefault="00A8304A" w:rsidP="0040163F">
      <w:pPr>
        <w:jc w:val="both"/>
        <w:rPr>
          <w:sz w:val="20"/>
          <w:szCs w:val="20"/>
        </w:rPr>
      </w:pPr>
      <w:r>
        <w:rPr>
          <w:sz w:val="20"/>
          <w:szCs w:val="20"/>
        </w:rPr>
        <w:t>The GTO is not intended to prevent real estate closings from taking place. The GTO is meant to allow the Treasury to collect information about these transactions</w:t>
      </w:r>
      <w:r w:rsidR="007173B0">
        <w:rPr>
          <w:sz w:val="20"/>
          <w:szCs w:val="20"/>
        </w:rPr>
        <w:t xml:space="preserve"> after the closing</w:t>
      </w:r>
      <w:r>
        <w:rPr>
          <w:sz w:val="20"/>
          <w:szCs w:val="20"/>
        </w:rPr>
        <w:t>.</w:t>
      </w:r>
    </w:p>
    <w:p w14:paraId="0F68205C" w14:textId="77777777" w:rsidR="001F7132" w:rsidRDefault="001F7132" w:rsidP="0040163F">
      <w:pPr>
        <w:jc w:val="both"/>
        <w:rPr>
          <w:i/>
          <w:sz w:val="20"/>
          <w:szCs w:val="20"/>
        </w:rPr>
      </w:pPr>
    </w:p>
    <w:p w14:paraId="398F0120" w14:textId="77777777" w:rsidR="001F7132" w:rsidRDefault="001F7132" w:rsidP="0040163F">
      <w:pPr>
        <w:jc w:val="both"/>
        <w:rPr>
          <w:i/>
          <w:sz w:val="20"/>
          <w:szCs w:val="20"/>
        </w:rPr>
      </w:pPr>
    </w:p>
    <w:p w14:paraId="124CA971" w14:textId="77777777" w:rsidR="001F7132" w:rsidRDefault="001F7132" w:rsidP="0040163F">
      <w:pPr>
        <w:jc w:val="both"/>
        <w:rPr>
          <w:i/>
          <w:sz w:val="20"/>
          <w:szCs w:val="20"/>
        </w:rPr>
      </w:pPr>
    </w:p>
    <w:p w14:paraId="6959928A" w14:textId="77777777" w:rsidR="001F7132" w:rsidRDefault="001F7132" w:rsidP="0040163F">
      <w:pPr>
        <w:jc w:val="both"/>
        <w:rPr>
          <w:i/>
          <w:sz w:val="20"/>
          <w:szCs w:val="20"/>
        </w:rPr>
      </w:pPr>
    </w:p>
    <w:p w14:paraId="3A816159" w14:textId="77777777" w:rsidR="001F7132" w:rsidRDefault="001F7132" w:rsidP="0040163F">
      <w:pPr>
        <w:jc w:val="both"/>
        <w:rPr>
          <w:i/>
          <w:sz w:val="20"/>
          <w:szCs w:val="20"/>
        </w:rPr>
      </w:pPr>
    </w:p>
    <w:p w14:paraId="29AF853F" w14:textId="77777777" w:rsidR="001F7132" w:rsidRDefault="001F7132" w:rsidP="0040163F">
      <w:pPr>
        <w:jc w:val="both"/>
        <w:rPr>
          <w:i/>
          <w:sz w:val="20"/>
          <w:szCs w:val="20"/>
        </w:rPr>
      </w:pPr>
    </w:p>
    <w:p w14:paraId="47477967" w14:textId="77777777" w:rsidR="001F7132" w:rsidRDefault="001F7132" w:rsidP="0040163F">
      <w:pPr>
        <w:jc w:val="both"/>
        <w:rPr>
          <w:i/>
          <w:sz w:val="20"/>
          <w:szCs w:val="20"/>
        </w:rPr>
      </w:pPr>
    </w:p>
    <w:p w14:paraId="2C581C9D" w14:textId="77777777" w:rsidR="001F7132" w:rsidRDefault="001F7132" w:rsidP="0040163F">
      <w:pPr>
        <w:jc w:val="both"/>
        <w:rPr>
          <w:i/>
          <w:sz w:val="20"/>
          <w:szCs w:val="20"/>
        </w:rPr>
      </w:pPr>
    </w:p>
    <w:p w14:paraId="1AF0338E" w14:textId="77777777" w:rsidR="001F7132" w:rsidRDefault="001F7132" w:rsidP="0040163F">
      <w:pPr>
        <w:jc w:val="both"/>
        <w:rPr>
          <w:i/>
          <w:sz w:val="20"/>
          <w:szCs w:val="20"/>
        </w:rPr>
      </w:pPr>
    </w:p>
    <w:p w14:paraId="5A5A4777" w14:textId="4B4E6E74" w:rsidR="00A8304A" w:rsidRDefault="001F7132" w:rsidP="0040163F">
      <w:pPr>
        <w:jc w:val="both"/>
        <w:rPr>
          <w:i/>
          <w:sz w:val="20"/>
          <w:szCs w:val="20"/>
          <w:u w:val="single"/>
        </w:rPr>
      </w:pPr>
      <w:r>
        <w:rPr>
          <w:i/>
          <w:sz w:val="20"/>
          <w:szCs w:val="20"/>
        </w:rPr>
        <w:lastRenderedPageBreak/>
        <w:t>II</w:t>
      </w:r>
      <w:r w:rsidR="00A8304A" w:rsidRPr="00AB7A10">
        <w:rPr>
          <w:i/>
          <w:sz w:val="20"/>
          <w:szCs w:val="20"/>
        </w:rPr>
        <w:t>I.</w:t>
      </w:r>
      <w:r w:rsidR="00A8304A">
        <w:rPr>
          <w:i/>
          <w:sz w:val="20"/>
          <w:szCs w:val="20"/>
          <w:u w:val="single"/>
        </w:rPr>
        <w:t xml:space="preserve"> </w:t>
      </w:r>
      <w:r>
        <w:rPr>
          <w:i/>
          <w:sz w:val="20"/>
          <w:szCs w:val="20"/>
          <w:u w:val="single"/>
        </w:rPr>
        <w:t>Legal</w:t>
      </w:r>
      <w:r w:rsidR="00A8304A" w:rsidRPr="00FF7042">
        <w:rPr>
          <w:i/>
          <w:sz w:val="20"/>
          <w:szCs w:val="20"/>
          <w:u w:val="single"/>
        </w:rPr>
        <w:t xml:space="preserve"> Requirements</w:t>
      </w:r>
      <w:r>
        <w:rPr>
          <w:i/>
          <w:sz w:val="20"/>
          <w:szCs w:val="20"/>
          <w:u w:val="single"/>
        </w:rPr>
        <w:t xml:space="preserve"> for Compliance</w:t>
      </w:r>
    </w:p>
    <w:p w14:paraId="54747FD7" w14:textId="77777777" w:rsidR="0031283C" w:rsidRDefault="0031283C" w:rsidP="0040163F">
      <w:pPr>
        <w:jc w:val="both"/>
        <w:rPr>
          <w:b/>
          <w:sz w:val="20"/>
          <w:szCs w:val="20"/>
        </w:rPr>
      </w:pPr>
      <w:r w:rsidRPr="00AB7A10">
        <w:rPr>
          <w:b/>
          <w:smallCaps/>
          <w:sz w:val="20"/>
          <w:szCs w:val="20"/>
        </w:rPr>
        <w:t>What are the penalties for violating the GTO?</w:t>
      </w:r>
      <w:r>
        <w:rPr>
          <w:b/>
          <w:sz w:val="20"/>
          <w:szCs w:val="20"/>
        </w:rPr>
        <w:t xml:space="preserve"> </w:t>
      </w:r>
    </w:p>
    <w:p w14:paraId="14592C41" w14:textId="77777777" w:rsidR="0031283C" w:rsidRDefault="0031283C" w:rsidP="0040163F">
      <w:pPr>
        <w:jc w:val="both"/>
        <w:rPr>
          <w:sz w:val="20"/>
          <w:szCs w:val="20"/>
        </w:rPr>
      </w:pPr>
      <w:r>
        <w:rPr>
          <w:sz w:val="20"/>
          <w:szCs w:val="20"/>
        </w:rPr>
        <w:t>Violation of the GTO may subject a Covered Business to the following criminal and civil penalties:</w:t>
      </w:r>
    </w:p>
    <w:p w14:paraId="3C038897" w14:textId="77777777" w:rsidR="00022327" w:rsidRDefault="00F81ED4" w:rsidP="0040163F">
      <w:pPr>
        <w:jc w:val="both"/>
        <w:rPr>
          <w:sz w:val="20"/>
          <w:szCs w:val="20"/>
        </w:rPr>
      </w:pPr>
      <w:r>
        <w:rPr>
          <w:sz w:val="20"/>
          <w:szCs w:val="20"/>
          <w:u w:val="single"/>
        </w:rPr>
        <w:t>Criminal Penalties</w:t>
      </w:r>
      <w:r>
        <w:rPr>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1147C" w:rsidRPr="002A270E" w14:paraId="67D44F76" w14:textId="77777777" w:rsidTr="002A270E">
        <w:tc>
          <w:tcPr>
            <w:tcW w:w="4788" w:type="dxa"/>
            <w:shd w:val="clear" w:color="auto" w:fill="auto"/>
          </w:tcPr>
          <w:p w14:paraId="6E9BCD90" w14:textId="77777777" w:rsidR="0001147C" w:rsidRPr="002A270E" w:rsidRDefault="0001147C" w:rsidP="0040163F">
            <w:pPr>
              <w:spacing w:after="0" w:line="240" w:lineRule="auto"/>
              <w:jc w:val="both"/>
              <w:rPr>
                <w:b/>
                <w:sz w:val="20"/>
                <w:szCs w:val="20"/>
              </w:rPr>
            </w:pPr>
            <w:r w:rsidRPr="002A270E">
              <w:rPr>
                <w:b/>
                <w:sz w:val="20"/>
                <w:szCs w:val="20"/>
              </w:rPr>
              <w:t>Type of Violation</w:t>
            </w:r>
          </w:p>
        </w:tc>
        <w:tc>
          <w:tcPr>
            <w:tcW w:w="4788" w:type="dxa"/>
            <w:shd w:val="clear" w:color="auto" w:fill="auto"/>
          </w:tcPr>
          <w:p w14:paraId="6A29FCCE" w14:textId="77777777" w:rsidR="0001147C" w:rsidRPr="002A270E" w:rsidRDefault="0001147C" w:rsidP="0040163F">
            <w:pPr>
              <w:spacing w:after="0" w:line="240" w:lineRule="auto"/>
              <w:jc w:val="both"/>
              <w:rPr>
                <w:b/>
                <w:sz w:val="20"/>
                <w:szCs w:val="20"/>
              </w:rPr>
            </w:pPr>
            <w:r w:rsidRPr="002A270E">
              <w:rPr>
                <w:b/>
                <w:sz w:val="20"/>
                <w:szCs w:val="20"/>
              </w:rPr>
              <w:t>Penalty</w:t>
            </w:r>
          </w:p>
        </w:tc>
      </w:tr>
      <w:tr w:rsidR="00022327" w:rsidRPr="002A270E" w14:paraId="447DD82D" w14:textId="77777777" w:rsidTr="002A270E">
        <w:tc>
          <w:tcPr>
            <w:tcW w:w="4788" w:type="dxa"/>
            <w:shd w:val="clear" w:color="auto" w:fill="auto"/>
          </w:tcPr>
          <w:p w14:paraId="56F95FE5" w14:textId="77777777" w:rsidR="00022327" w:rsidRPr="002A270E" w:rsidRDefault="0001147C" w:rsidP="0040163F">
            <w:pPr>
              <w:spacing w:after="0" w:line="240" w:lineRule="auto"/>
              <w:jc w:val="both"/>
              <w:rPr>
                <w:sz w:val="20"/>
                <w:szCs w:val="20"/>
              </w:rPr>
            </w:pPr>
            <w:r w:rsidRPr="002A270E">
              <w:rPr>
                <w:sz w:val="20"/>
                <w:szCs w:val="20"/>
              </w:rPr>
              <w:t>Willful violation</w:t>
            </w:r>
          </w:p>
        </w:tc>
        <w:tc>
          <w:tcPr>
            <w:tcW w:w="4788" w:type="dxa"/>
            <w:shd w:val="clear" w:color="auto" w:fill="auto"/>
          </w:tcPr>
          <w:p w14:paraId="37E0C1F6" w14:textId="77777777" w:rsidR="00022327" w:rsidRPr="002A270E" w:rsidRDefault="0001147C" w:rsidP="0040163F">
            <w:pPr>
              <w:spacing w:after="0" w:line="240" w:lineRule="auto"/>
              <w:jc w:val="both"/>
              <w:rPr>
                <w:sz w:val="20"/>
                <w:szCs w:val="20"/>
              </w:rPr>
            </w:pPr>
            <w:r w:rsidRPr="002A270E">
              <w:rPr>
                <w:sz w:val="20"/>
                <w:szCs w:val="20"/>
              </w:rPr>
              <w:t>Up to $250,000 fine and 5 years in prison</w:t>
            </w:r>
          </w:p>
        </w:tc>
      </w:tr>
      <w:tr w:rsidR="00022327" w:rsidRPr="002A270E" w14:paraId="0CE76363" w14:textId="77777777" w:rsidTr="002A270E">
        <w:tc>
          <w:tcPr>
            <w:tcW w:w="4788" w:type="dxa"/>
            <w:shd w:val="clear" w:color="auto" w:fill="auto"/>
          </w:tcPr>
          <w:p w14:paraId="2ADB2013" w14:textId="77777777" w:rsidR="00022327" w:rsidRPr="002A270E" w:rsidRDefault="0001147C" w:rsidP="0040163F">
            <w:pPr>
              <w:spacing w:after="0" w:line="240" w:lineRule="auto"/>
              <w:jc w:val="both"/>
              <w:rPr>
                <w:sz w:val="20"/>
                <w:szCs w:val="20"/>
              </w:rPr>
            </w:pPr>
            <w:r w:rsidRPr="002A270E">
              <w:rPr>
                <w:sz w:val="20"/>
                <w:szCs w:val="20"/>
              </w:rPr>
              <w:t>Willful violation while violating another law of the United States</w:t>
            </w:r>
          </w:p>
        </w:tc>
        <w:tc>
          <w:tcPr>
            <w:tcW w:w="4788" w:type="dxa"/>
            <w:shd w:val="clear" w:color="auto" w:fill="auto"/>
          </w:tcPr>
          <w:p w14:paraId="336A37B1" w14:textId="77777777" w:rsidR="00022327" w:rsidRPr="002A270E" w:rsidRDefault="0001147C" w:rsidP="0040163F">
            <w:pPr>
              <w:spacing w:after="0" w:line="240" w:lineRule="auto"/>
              <w:jc w:val="both"/>
              <w:rPr>
                <w:sz w:val="20"/>
                <w:szCs w:val="20"/>
              </w:rPr>
            </w:pPr>
            <w:r w:rsidRPr="002A270E">
              <w:rPr>
                <w:sz w:val="20"/>
                <w:szCs w:val="20"/>
              </w:rPr>
              <w:t xml:space="preserve">Up to $500,000 fine and 10 years </w:t>
            </w:r>
            <w:r w:rsidR="00877F65" w:rsidRPr="002A270E">
              <w:rPr>
                <w:sz w:val="20"/>
                <w:szCs w:val="20"/>
              </w:rPr>
              <w:t>in prison</w:t>
            </w:r>
          </w:p>
        </w:tc>
      </w:tr>
      <w:tr w:rsidR="00022327" w:rsidRPr="002A270E" w14:paraId="0F5C999C" w14:textId="77777777" w:rsidTr="002A270E">
        <w:tc>
          <w:tcPr>
            <w:tcW w:w="4788" w:type="dxa"/>
            <w:shd w:val="clear" w:color="auto" w:fill="auto"/>
          </w:tcPr>
          <w:p w14:paraId="23DC7787" w14:textId="77777777" w:rsidR="00022327" w:rsidRPr="002A270E" w:rsidRDefault="0001147C" w:rsidP="0040163F">
            <w:pPr>
              <w:spacing w:before="120" w:after="120" w:line="240" w:lineRule="auto"/>
              <w:jc w:val="both"/>
              <w:rPr>
                <w:sz w:val="20"/>
                <w:szCs w:val="20"/>
              </w:rPr>
            </w:pPr>
            <w:r w:rsidRPr="002A270E">
              <w:rPr>
                <w:sz w:val="20"/>
                <w:szCs w:val="20"/>
              </w:rPr>
              <w:t>Structuring or assisting in structuring a transaction to avoid the currency transaction reporting</w:t>
            </w:r>
          </w:p>
        </w:tc>
        <w:tc>
          <w:tcPr>
            <w:tcW w:w="4788" w:type="dxa"/>
            <w:shd w:val="clear" w:color="auto" w:fill="auto"/>
          </w:tcPr>
          <w:p w14:paraId="5BE2301C" w14:textId="77777777" w:rsidR="00022327" w:rsidRPr="002A270E" w:rsidRDefault="0001147C" w:rsidP="0040163F">
            <w:pPr>
              <w:spacing w:before="120" w:after="120" w:line="240" w:lineRule="auto"/>
              <w:jc w:val="both"/>
              <w:rPr>
                <w:sz w:val="20"/>
                <w:szCs w:val="20"/>
              </w:rPr>
            </w:pPr>
            <w:r w:rsidRPr="002A270E">
              <w:rPr>
                <w:sz w:val="20"/>
                <w:szCs w:val="20"/>
              </w:rPr>
              <w:t xml:space="preserve">Fine and up to five years </w:t>
            </w:r>
            <w:r w:rsidR="00877F65" w:rsidRPr="002A270E">
              <w:rPr>
                <w:sz w:val="20"/>
                <w:szCs w:val="20"/>
              </w:rPr>
              <w:t>in prison</w:t>
            </w:r>
          </w:p>
        </w:tc>
      </w:tr>
    </w:tbl>
    <w:p w14:paraId="6E7DBDAD" w14:textId="77777777" w:rsidR="00F81ED4" w:rsidRPr="0001147C" w:rsidRDefault="00F81ED4" w:rsidP="0040163F">
      <w:pPr>
        <w:spacing w:before="120" w:after="120"/>
        <w:jc w:val="both"/>
        <w:rPr>
          <w:sz w:val="20"/>
          <w:szCs w:val="20"/>
        </w:rPr>
      </w:pPr>
      <w:r>
        <w:rPr>
          <w:sz w:val="20"/>
          <w:szCs w:val="20"/>
          <w:u w:val="single"/>
        </w:rPr>
        <w:t>Civil Penalties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0"/>
      </w:tblGrid>
      <w:tr w:rsidR="0001147C" w:rsidRPr="002A270E" w14:paraId="64C710E6" w14:textId="77777777" w:rsidTr="002A270E">
        <w:tc>
          <w:tcPr>
            <w:tcW w:w="4770" w:type="dxa"/>
            <w:shd w:val="clear" w:color="auto" w:fill="auto"/>
          </w:tcPr>
          <w:p w14:paraId="68E2850A" w14:textId="77777777" w:rsidR="0001147C" w:rsidRPr="002A270E" w:rsidRDefault="0001147C" w:rsidP="0040163F">
            <w:pPr>
              <w:spacing w:after="0" w:line="240" w:lineRule="auto"/>
              <w:jc w:val="both"/>
              <w:rPr>
                <w:b/>
                <w:sz w:val="20"/>
                <w:szCs w:val="20"/>
              </w:rPr>
            </w:pPr>
            <w:r w:rsidRPr="002A270E">
              <w:rPr>
                <w:b/>
                <w:sz w:val="20"/>
                <w:szCs w:val="20"/>
              </w:rPr>
              <w:t>Type of Violation</w:t>
            </w:r>
          </w:p>
        </w:tc>
        <w:tc>
          <w:tcPr>
            <w:tcW w:w="4770" w:type="dxa"/>
            <w:shd w:val="clear" w:color="auto" w:fill="auto"/>
          </w:tcPr>
          <w:p w14:paraId="5516BFC0" w14:textId="77777777" w:rsidR="0001147C" w:rsidRPr="002A270E" w:rsidRDefault="0001147C" w:rsidP="0040163F">
            <w:pPr>
              <w:spacing w:after="0" w:line="240" w:lineRule="auto"/>
              <w:jc w:val="both"/>
              <w:rPr>
                <w:b/>
                <w:sz w:val="20"/>
                <w:szCs w:val="20"/>
              </w:rPr>
            </w:pPr>
            <w:r w:rsidRPr="002A270E">
              <w:rPr>
                <w:b/>
                <w:sz w:val="20"/>
                <w:szCs w:val="20"/>
              </w:rPr>
              <w:t>Penalty</w:t>
            </w:r>
          </w:p>
        </w:tc>
      </w:tr>
      <w:tr w:rsidR="0001147C" w:rsidRPr="002A270E" w14:paraId="747B1746" w14:textId="77777777" w:rsidTr="002A270E">
        <w:tc>
          <w:tcPr>
            <w:tcW w:w="4770" w:type="dxa"/>
            <w:shd w:val="clear" w:color="auto" w:fill="auto"/>
          </w:tcPr>
          <w:p w14:paraId="43E033D3" w14:textId="77777777" w:rsidR="0001147C" w:rsidRPr="002A270E" w:rsidRDefault="0001147C" w:rsidP="0040163F">
            <w:pPr>
              <w:spacing w:after="0" w:line="240" w:lineRule="auto"/>
              <w:jc w:val="both"/>
              <w:rPr>
                <w:sz w:val="20"/>
                <w:szCs w:val="20"/>
              </w:rPr>
            </w:pPr>
            <w:r w:rsidRPr="002A270E">
              <w:rPr>
                <w:sz w:val="20"/>
                <w:szCs w:val="20"/>
              </w:rPr>
              <w:t xml:space="preserve">Willful violation </w:t>
            </w:r>
            <w:r w:rsidRPr="002A270E">
              <w:rPr>
                <w:sz w:val="20"/>
                <w:szCs w:val="20"/>
              </w:rPr>
              <w:br/>
              <w:t>(a separate violation occurs for each day the violation continues and each location a violation occurs)</w:t>
            </w:r>
          </w:p>
        </w:tc>
        <w:tc>
          <w:tcPr>
            <w:tcW w:w="4770" w:type="dxa"/>
            <w:shd w:val="clear" w:color="auto" w:fill="auto"/>
          </w:tcPr>
          <w:p w14:paraId="0B31118D" w14:textId="77777777" w:rsidR="0001147C" w:rsidRPr="002A270E" w:rsidRDefault="0001147C" w:rsidP="0040163F">
            <w:pPr>
              <w:spacing w:after="0" w:line="240" w:lineRule="auto"/>
              <w:jc w:val="both"/>
              <w:rPr>
                <w:sz w:val="20"/>
                <w:szCs w:val="20"/>
              </w:rPr>
            </w:pPr>
            <w:r w:rsidRPr="002A270E">
              <w:rPr>
                <w:sz w:val="20"/>
                <w:szCs w:val="20"/>
              </w:rPr>
              <w:t>Greater of the amount involved (up to $100,000) or $25,000</w:t>
            </w:r>
          </w:p>
        </w:tc>
      </w:tr>
      <w:tr w:rsidR="0001147C" w:rsidRPr="002A270E" w14:paraId="3651163C" w14:textId="77777777" w:rsidTr="002A270E">
        <w:tc>
          <w:tcPr>
            <w:tcW w:w="4770" w:type="dxa"/>
            <w:shd w:val="clear" w:color="auto" w:fill="auto"/>
          </w:tcPr>
          <w:p w14:paraId="3138DC74" w14:textId="77777777" w:rsidR="0001147C" w:rsidRPr="002A270E" w:rsidRDefault="0001147C" w:rsidP="0040163F">
            <w:pPr>
              <w:spacing w:after="0" w:line="240" w:lineRule="auto"/>
              <w:jc w:val="both"/>
              <w:rPr>
                <w:sz w:val="20"/>
                <w:szCs w:val="20"/>
              </w:rPr>
            </w:pPr>
            <w:r w:rsidRPr="002A270E">
              <w:rPr>
                <w:sz w:val="20"/>
                <w:szCs w:val="20"/>
              </w:rPr>
              <w:t>Failure to file a report, material misstatement or omission</w:t>
            </w:r>
          </w:p>
        </w:tc>
        <w:tc>
          <w:tcPr>
            <w:tcW w:w="4770" w:type="dxa"/>
            <w:shd w:val="clear" w:color="auto" w:fill="auto"/>
          </w:tcPr>
          <w:p w14:paraId="6D6E2A13" w14:textId="77777777" w:rsidR="0001147C" w:rsidRPr="002A270E" w:rsidRDefault="0001147C" w:rsidP="0040163F">
            <w:pPr>
              <w:spacing w:after="0" w:line="240" w:lineRule="auto"/>
              <w:jc w:val="both"/>
              <w:rPr>
                <w:sz w:val="20"/>
                <w:szCs w:val="20"/>
              </w:rPr>
            </w:pPr>
            <w:r w:rsidRPr="002A270E">
              <w:rPr>
                <w:sz w:val="20"/>
                <w:szCs w:val="20"/>
              </w:rPr>
              <w:t>Not to exceed the amount involved in the transaction</w:t>
            </w:r>
          </w:p>
        </w:tc>
      </w:tr>
      <w:tr w:rsidR="0001147C" w:rsidRPr="002A270E" w14:paraId="645D51BA" w14:textId="77777777" w:rsidTr="002A270E">
        <w:tc>
          <w:tcPr>
            <w:tcW w:w="4770" w:type="dxa"/>
            <w:shd w:val="clear" w:color="auto" w:fill="auto"/>
          </w:tcPr>
          <w:p w14:paraId="5FCED509" w14:textId="77777777" w:rsidR="0001147C" w:rsidRPr="002A270E" w:rsidRDefault="0001147C" w:rsidP="0040163F">
            <w:pPr>
              <w:spacing w:after="0" w:line="240" w:lineRule="auto"/>
              <w:jc w:val="both"/>
              <w:rPr>
                <w:sz w:val="20"/>
                <w:szCs w:val="20"/>
              </w:rPr>
            </w:pPr>
            <w:r w:rsidRPr="002A270E">
              <w:rPr>
                <w:sz w:val="20"/>
                <w:szCs w:val="20"/>
              </w:rPr>
              <w:t>Structuring or assisting in structuring a transaction to avoid the currency transaction reporting</w:t>
            </w:r>
          </w:p>
        </w:tc>
        <w:tc>
          <w:tcPr>
            <w:tcW w:w="4770" w:type="dxa"/>
            <w:shd w:val="clear" w:color="auto" w:fill="auto"/>
          </w:tcPr>
          <w:p w14:paraId="1CCFA0EC" w14:textId="77777777" w:rsidR="0001147C" w:rsidRPr="002A270E" w:rsidRDefault="0001147C" w:rsidP="0040163F">
            <w:pPr>
              <w:spacing w:after="0" w:line="240" w:lineRule="auto"/>
              <w:jc w:val="both"/>
              <w:rPr>
                <w:sz w:val="20"/>
                <w:szCs w:val="20"/>
              </w:rPr>
            </w:pPr>
            <w:r w:rsidRPr="002A270E">
              <w:rPr>
                <w:sz w:val="20"/>
                <w:szCs w:val="20"/>
              </w:rPr>
              <w:t>Not to exceed the amount involved in the transaction</w:t>
            </w:r>
          </w:p>
        </w:tc>
      </w:tr>
      <w:tr w:rsidR="0001147C" w:rsidRPr="002A270E" w14:paraId="495359BB" w14:textId="77777777" w:rsidTr="002A270E">
        <w:tc>
          <w:tcPr>
            <w:tcW w:w="4770" w:type="dxa"/>
            <w:shd w:val="clear" w:color="auto" w:fill="auto"/>
          </w:tcPr>
          <w:p w14:paraId="6B153E29" w14:textId="77777777" w:rsidR="0001147C" w:rsidRPr="002A270E" w:rsidRDefault="0001147C" w:rsidP="0040163F">
            <w:pPr>
              <w:spacing w:after="0" w:line="240" w:lineRule="auto"/>
              <w:jc w:val="both"/>
              <w:rPr>
                <w:sz w:val="20"/>
                <w:szCs w:val="20"/>
              </w:rPr>
            </w:pPr>
            <w:r w:rsidRPr="002A270E">
              <w:rPr>
                <w:sz w:val="20"/>
                <w:szCs w:val="20"/>
              </w:rPr>
              <w:t>Negligence</w:t>
            </w:r>
          </w:p>
        </w:tc>
        <w:tc>
          <w:tcPr>
            <w:tcW w:w="4770" w:type="dxa"/>
            <w:shd w:val="clear" w:color="auto" w:fill="auto"/>
          </w:tcPr>
          <w:p w14:paraId="28FE92D2" w14:textId="77777777" w:rsidR="0001147C" w:rsidRPr="002A270E" w:rsidRDefault="0001147C" w:rsidP="0040163F">
            <w:pPr>
              <w:spacing w:after="0" w:line="240" w:lineRule="auto"/>
              <w:jc w:val="both"/>
              <w:rPr>
                <w:sz w:val="20"/>
                <w:szCs w:val="20"/>
              </w:rPr>
            </w:pPr>
            <w:r w:rsidRPr="002A270E">
              <w:rPr>
                <w:sz w:val="20"/>
                <w:szCs w:val="20"/>
              </w:rPr>
              <w:t>Not to exceed $500 or $50,00</w:t>
            </w:r>
            <w:r w:rsidR="00877F65" w:rsidRPr="002A270E">
              <w:rPr>
                <w:sz w:val="20"/>
                <w:szCs w:val="20"/>
              </w:rPr>
              <w:t>0</w:t>
            </w:r>
            <w:r w:rsidRPr="002A270E">
              <w:rPr>
                <w:sz w:val="20"/>
                <w:szCs w:val="20"/>
              </w:rPr>
              <w:t xml:space="preserve"> if a pattern of negligence is found</w:t>
            </w:r>
          </w:p>
        </w:tc>
      </w:tr>
    </w:tbl>
    <w:p w14:paraId="1DA633CD" w14:textId="77777777" w:rsidR="0031283C" w:rsidRDefault="0031283C" w:rsidP="0040163F">
      <w:pPr>
        <w:jc w:val="both"/>
        <w:rPr>
          <w:sz w:val="20"/>
          <w:szCs w:val="20"/>
        </w:rPr>
      </w:pPr>
      <w:r w:rsidRPr="00AB7A10">
        <w:rPr>
          <w:b/>
          <w:smallCaps/>
          <w:sz w:val="20"/>
          <w:szCs w:val="20"/>
        </w:rPr>
        <w:t>Can penalties be assessed against a Covered Business’ individual employees or agents</w:t>
      </w:r>
      <w:r>
        <w:rPr>
          <w:b/>
          <w:sz w:val="20"/>
          <w:szCs w:val="20"/>
        </w:rPr>
        <w:t xml:space="preserve">? </w:t>
      </w:r>
      <w:r>
        <w:rPr>
          <w:sz w:val="20"/>
          <w:szCs w:val="20"/>
        </w:rPr>
        <w:t>Yes. Both civil and criminal penalties ma</w:t>
      </w:r>
      <w:r w:rsidR="00C3566D">
        <w:rPr>
          <w:sz w:val="20"/>
          <w:szCs w:val="20"/>
        </w:rPr>
        <w:t>y</w:t>
      </w:r>
      <w:r>
        <w:rPr>
          <w:sz w:val="20"/>
          <w:szCs w:val="20"/>
        </w:rPr>
        <w:t xml:space="preserve"> be levied against a </w:t>
      </w:r>
      <w:r w:rsidRPr="006F741A">
        <w:rPr>
          <w:sz w:val="20"/>
          <w:szCs w:val="20"/>
        </w:rPr>
        <w:t xml:space="preserve">partner, director, officer, </w:t>
      </w:r>
      <w:r>
        <w:rPr>
          <w:sz w:val="20"/>
          <w:szCs w:val="20"/>
        </w:rPr>
        <w:t xml:space="preserve">agent </w:t>
      </w:r>
      <w:r w:rsidRPr="006F741A">
        <w:rPr>
          <w:sz w:val="20"/>
          <w:szCs w:val="20"/>
        </w:rPr>
        <w:t>or employee</w:t>
      </w:r>
      <w:r>
        <w:rPr>
          <w:sz w:val="20"/>
          <w:szCs w:val="20"/>
        </w:rPr>
        <w:t xml:space="preserve"> of the Covered Business.</w:t>
      </w:r>
    </w:p>
    <w:p w14:paraId="0C1E0349" w14:textId="77777777" w:rsidR="0031283C" w:rsidRDefault="0031283C" w:rsidP="0040163F">
      <w:pPr>
        <w:jc w:val="both"/>
        <w:rPr>
          <w:b/>
          <w:sz w:val="20"/>
          <w:szCs w:val="20"/>
        </w:rPr>
      </w:pPr>
      <w:r w:rsidRPr="00AB7A10">
        <w:rPr>
          <w:b/>
          <w:smallCaps/>
          <w:sz w:val="20"/>
          <w:szCs w:val="20"/>
        </w:rPr>
        <w:t>How long after a violation can the government assess a penalty?</w:t>
      </w:r>
      <w:r w:rsidRPr="006F741A">
        <w:rPr>
          <w:b/>
          <w:sz w:val="20"/>
          <w:szCs w:val="20"/>
        </w:rPr>
        <w:t xml:space="preserve"> </w:t>
      </w:r>
    </w:p>
    <w:p w14:paraId="649FD182" w14:textId="50BA9D28" w:rsidR="0031283C" w:rsidRDefault="0031283C" w:rsidP="0040163F">
      <w:pPr>
        <w:jc w:val="both"/>
        <w:rPr>
          <w:sz w:val="20"/>
          <w:szCs w:val="20"/>
        </w:rPr>
      </w:pPr>
      <w:r>
        <w:rPr>
          <w:sz w:val="20"/>
          <w:szCs w:val="20"/>
        </w:rPr>
        <w:t>Penalties can be assessed any time within six years from the date of the Covered Transaction. Civil actions may be commenced within two years of the date of the penalty or criminal conviction.</w:t>
      </w:r>
    </w:p>
    <w:p w14:paraId="222BE8CA" w14:textId="098E5E62" w:rsidR="001F7132" w:rsidRDefault="001F7132" w:rsidP="0040163F">
      <w:pPr>
        <w:jc w:val="both"/>
        <w:rPr>
          <w:sz w:val="20"/>
          <w:szCs w:val="20"/>
        </w:rPr>
      </w:pPr>
    </w:p>
    <w:p w14:paraId="35C796A4" w14:textId="44EADE88" w:rsidR="001F7132" w:rsidRDefault="001F7132" w:rsidP="0040163F">
      <w:pPr>
        <w:jc w:val="both"/>
        <w:rPr>
          <w:sz w:val="20"/>
          <w:szCs w:val="20"/>
        </w:rPr>
      </w:pPr>
    </w:p>
    <w:p w14:paraId="0167CFCB" w14:textId="069B3DB2" w:rsidR="001F7132" w:rsidRDefault="001F7132" w:rsidP="0040163F">
      <w:pPr>
        <w:jc w:val="both"/>
        <w:rPr>
          <w:sz w:val="20"/>
          <w:szCs w:val="20"/>
        </w:rPr>
      </w:pPr>
    </w:p>
    <w:p w14:paraId="0C9A89D2" w14:textId="1FA5E616" w:rsidR="001F7132" w:rsidRDefault="001F7132" w:rsidP="0040163F">
      <w:pPr>
        <w:jc w:val="both"/>
        <w:rPr>
          <w:sz w:val="20"/>
          <w:szCs w:val="20"/>
        </w:rPr>
      </w:pPr>
    </w:p>
    <w:p w14:paraId="3A789551" w14:textId="3F0520BD" w:rsidR="001F7132" w:rsidRDefault="001F7132" w:rsidP="0040163F">
      <w:pPr>
        <w:jc w:val="both"/>
        <w:rPr>
          <w:sz w:val="20"/>
          <w:szCs w:val="20"/>
        </w:rPr>
      </w:pPr>
    </w:p>
    <w:p w14:paraId="42C5C41B" w14:textId="38012AA8" w:rsidR="001F7132" w:rsidRDefault="001F7132" w:rsidP="0040163F">
      <w:pPr>
        <w:jc w:val="both"/>
        <w:rPr>
          <w:sz w:val="20"/>
          <w:szCs w:val="20"/>
        </w:rPr>
      </w:pPr>
    </w:p>
    <w:p w14:paraId="1FCE499F" w14:textId="47EB2364" w:rsidR="001F7132" w:rsidRDefault="001F7132" w:rsidP="0040163F">
      <w:pPr>
        <w:jc w:val="both"/>
        <w:rPr>
          <w:sz w:val="20"/>
          <w:szCs w:val="20"/>
        </w:rPr>
      </w:pPr>
    </w:p>
    <w:p w14:paraId="22B989DF" w14:textId="42EB01FC" w:rsidR="001F7132" w:rsidRDefault="001F7132" w:rsidP="0040163F">
      <w:pPr>
        <w:jc w:val="both"/>
        <w:rPr>
          <w:sz w:val="20"/>
          <w:szCs w:val="20"/>
        </w:rPr>
      </w:pPr>
    </w:p>
    <w:p w14:paraId="4CB7EF72" w14:textId="77777777" w:rsidR="001F7132" w:rsidRDefault="001F7132" w:rsidP="0040163F">
      <w:pPr>
        <w:jc w:val="both"/>
        <w:rPr>
          <w:sz w:val="20"/>
          <w:szCs w:val="20"/>
        </w:rPr>
      </w:pPr>
    </w:p>
    <w:p w14:paraId="62354237" w14:textId="602D9BB0" w:rsidR="0031283C" w:rsidRPr="00FF7042" w:rsidRDefault="001F7132" w:rsidP="0040163F">
      <w:pPr>
        <w:jc w:val="both"/>
        <w:rPr>
          <w:sz w:val="20"/>
          <w:szCs w:val="20"/>
        </w:rPr>
      </w:pPr>
      <w:r>
        <w:rPr>
          <w:i/>
          <w:sz w:val="20"/>
          <w:szCs w:val="20"/>
        </w:rPr>
        <w:lastRenderedPageBreak/>
        <w:t>IV</w:t>
      </w:r>
      <w:r w:rsidR="0031283C" w:rsidRPr="00AB7A10">
        <w:rPr>
          <w:i/>
          <w:sz w:val="20"/>
          <w:szCs w:val="20"/>
        </w:rPr>
        <w:t>.</w:t>
      </w:r>
      <w:r w:rsidR="0031283C">
        <w:rPr>
          <w:i/>
          <w:sz w:val="20"/>
          <w:szCs w:val="20"/>
          <w:u w:val="single"/>
        </w:rPr>
        <w:t xml:space="preserve"> </w:t>
      </w:r>
      <w:r>
        <w:rPr>
          <w:i/>
          <w:sz w:val="20"/>
          <w:szCs w:val="20"/>
          <w:u w:val="single"/>
        </w:rPr>
        <w:t>Reporting Requirements</w:t>
      </w:r>
      <w:r w:rsidR="0031283C" w:rsidRPr="00FF7042">
        <w:rPr>
          <w:i/>
          <w:sz w:val="20"/>
          <w:szCs w:val="20"/>
          <w:u w:val="single"/>
        </w:rPr>
        <w:t>?</w:t>
      </w:r>
    </w:p>
    <w:p w14:paraId="303A1797" w14:textId="77777777" w:rsidR="0031283C" w:rsidRDefault="0031283C" w:rsidP="0040163F">
      <w:pPr>
        <w:jc w:val="both"/>
        <w:rPr>
          <w:b/>
          <w:sz w:val="20"/>
          <w:szCs w:val="20"/>
        </w:rPr>
      </w:pPr>
      <w:r w:rsidRPr="00AB7A10">
        <w:rPr>
          <w:b/>
          <w:smallCaps/>
          <w:sz w:val="20"/>
          <w:szCs w:val="20"/>
        </w:rPr>
        <w:t>Is a title insurance agent, settlement attorney or real estate agent required to report Covered Transactions to FinCEN?</w:t>
      </w:r>
      <w:r>
        <w:rPr>
          <w:b/>
          <w:sz w:val="20"/>
          <w:szCs w:val="20"/>
        </w:rPr>
        <w:t xml:space="preserve"> </w:t>
      </w:r>
    </w:p>
    <w:p w14:paraId="3FA7CD01" w14:textId="77777777" w:rsidR="0031283C" w:rsidRDefault="007173B0" w:rsidP="0040163F">
      <w:pPr>
        <w:jc w:val="both"/>
        <w:rPr>
          <w:sz w:val="20"/>
          <w:szCs w:val="20"/>
        </w:rPr>
      </w:pPr>
      <w:r>
        <w:rPr>
          <w:sz w:val="20"/>
          <w:szCs w:val="20"/>
        </w:rPr>
        <w:t>It depends</w:t>
      </w:r>
      <w:r w:rsidR="0031283C">
        <w:rPr>
          <w:sz w:val="20"/>
          <w:szCs w:val="20"/>
        </w:rPr>
        <w:t xml:space="preserve">. The GTO applies to title insurance companies, </w:t>
      </w:r>
      <w:r>
        <w:rPr>
          <w:sz w:val="20"/>
          <w:szCs w:val="20"/>
        </w:rPr>
        <w:t>their</w:t>
      </w:r>
      <w:r w:rsidR="0031283C">
        <w:rPr>
          <w:sz w:val="20"/>
          <w:szCs w:val="20"/>
        </w:rPr>
        <w:t xml:space="preserve"> subsidiaries and agents</w:t>
      </w:r>
      <w:r w:rsidR="00E11747">
        <w:rPr>
          <w:sz w:val="20"/>
          <w:szCs w:val="20"/>
        </w:rPr>
        <w:t>.</w:t>
      </w:r>
      <w:r w:rsidR="0031283C">
        <w:rPr>
          <w:sz w:val="20"/>
          <w:szCs w:val="20"/>
        </w:rPr>
        <w:t xml:space="preserve">  It does not apply to business involved in the Covered Transactions that are not agents of the </w:t>
      </w:r>
      <w:r>
        <w:rPr>
          <w:sz w:val="20"/>
          <w:szCs w:val="20"/>
        </w:rPr>
        <w:t>title insurer</w:t>
      </w:r>
      <w:r w:rsidR="0031283C">
        <w:rPr>
          <w:sz w:val="20"/>
          <w:szCs w:val="20"/>
        </w:rPr>
        <w:t xml:space="preserve">, such as attorneys or real estate agents. </w:t>
      </w:r>
      <w:r w:rsidR="00C94CEC" w:rsidRPr="00C94CEC">
        <w:rPr>
          <w:sz w:val="20"/>
          <w:szCs w:val="20"/>
        </w:rPr>
        <w:t>While the definition of a Covered Business includes the insurer’s agents, only one report is required for each Covered Transaction. Depending on the policy and procedures of the covered insurer, the report can be filed by either the insurer or their agent.</w:t>
      </w:r>
    </w:p>
    <w:p w14:paraId="23706E57" w14:textId="77777777" w:rsidR="0031283C" w:rsidRDefault="0031283C" w:rsidP="0040163F">
      <w:pPr>
        <w:jc w:val="both"/>
        <w:rPr>
          <w:b/>
          <w:sz w:val="20"/>
          <w:szCs w:val="20"/>
        </w:rPr>
      </w:pPr>
      <w:r w:rsidRPr="00AB7A10">
        <w:rPr>
          <w:b/>
          <w:smallCaps/>
          <w:sz w:val="20"/>
          <w:szCs w:val="20"/>
        </w:rPr>
        <w:t>If the Covered Business just insured the transaction but was not involved in the closing, does it need to report the transaction?</w:t>
      </w:r>
      <w:r>
        <w:rPr>
          <w:b/>
          <w:sz w:val="20"/>
          <w:szCs w:val="20"/>
        </w:rPr>
        <w:t xml:space="preserve"> </w:t>
      </w:r>
    </w:p>
    <w:p w14:paraId="2B45C451" w14:textId="77777777" w:rsidR="0031283C" w:rsidRDefault="0031283C" w:rsidP="0040163F">
      <w:pPr>
        <w:jc w:val="both"/>
        <w:rPr>
          <w:sz w:val="20"/>
          <w:szCs w:val="20"/>
        </w:rPr>
      </w:pPr>
      <w:r>
        <w:rPr>
          <w:sz w:val="20"/>
          <w:szCs w:val="20"/>
        </w:rPr>
        <w:t xml:space="preserve">Yes.  A Covered Business must report the transaction whenever it, or its subsidiaries or agents, are involved in the Covered Transaction. </w:t>
      </w:r>
      <w:r w:rsidR="00C94CEC" w:rsidRPr="00C94CEC">
        <w:rPr>
          <w:sz w:val="20"/>
          <w:szCs w:val="20"/>
        </w:rPr>
        <w:t>This includes when they only provide title insurance and not settlement services in the transactions.</w:t>
      </w:r>
      <w:r>
        <w:rPr>
          <w:sz w:val="20"/>
          <w:szCs w:val="20"/>
        </w:rPr>
        <w:t xml:space="preserve"> </w:t>
      </w:r>
    </w:p>
    <w:p w14:paraId="5DB2CC37" w14:textId="34928CCE" w:rsidR="0031283C" w:rsidRDefault="0031283C" w:rsidP="0040163F">
      <w:pPr>
        <w:jc w:val="both"/>
        <w:rPr>
          <w:sz w:val="20"/>
          <w:szCs w:val="20"/>
        </w:rPr>
      </w:pPr>
      <w:r w:rsidRPr="00AB7A10">
        <w:rPr>
          <w:b/>
          <w:smallCaps/>
          <w:sz w:val="20"/>
          <w:szCs w:val="20"/>
        </w:rPr>
        <w:t>Can a Covered Business rely on information provided by real estate attorneys or agents when reporting</w:t>
      </w:r>
      <w:r w:rsidRPr="00AB7A10">
        <w:rPr>
          <w:b/>
          <w:caps/>
          <w:sz w:val="20"/>
          <w:szCs w:val="20"/>
        </w:rPr>
        <w:t>?</w:t>
      </w:r>
      <w:r>
        <w:rPr>
          <w:b/>
          <w:sz w:val="20"/>
          <w:szCs w:val="20"/>
        </w:rPr>
        <w:t xml:space="preserve"> </w:t>
      </w:r>
      <w:r>
        <w:rPr>
          <w:b/>
          <w:sz w:val="20"/>
          <w:szCs w:val="20"/>
        </w:rPr>
        <w:br/>
      </w:r>
      <w:r>
        <w:rPr>
          <w:sz w:val="20"/>
          <w:szCs w:val="20"/>
        </w:rPr>
        <w:t xml:space="preserve">Yes.  </w:t>
      </w:r>
      <w:r w:rsidR="001F7132">
        <w:rPr>
          <w:sz w:val="20"/>
          <w:szCs w:val="20"/>
        </w:rPr>
        <w:t>Filers may rely on information</w:t>
      </w:r>
      <w:r>
        <w:rPr>
          <w:sz w:val="20"/>
          <w:szCs w:val="20"/>
        </w:rPr>
        <w:t xml:space="preserve"> collect from the Purchaser</w:t>
      </w:r>
      <w:r w:rsidR="001F7132">
        <w:rPr>
          <w:sz w:val="20"/>
          <w:szCs w:val="20"/>
        </w:rPr>
        <w:t>, their representative</w:t>
      </w:r>
      <w:r>
        <w:rPr>
          <w:sz w:val="20"/>
          <w:szCs w:val="20"/>
        </w:rPr>
        <w:t xml:space="preserve"> or the Beneficial Owner(s</w:t>
      </w:r>
      <w:r w:rsidR="001F7132">
        <w:rPr>
          <w:sz w:val="20"/>
          <w:szCs w:val="20"/>
        </w:rPr>
        <w:t>). This includes information collection using the ALTA Information Collection Form</w:t>
      </w:r>
      <w:r>
        <w:rPr>
          <w:sz w:val="20"/>
          <w:szCs w:val="20"/>
        </w:rPr>
        <w:t xml:space="preserve"> </w:t>
      </w:r>
    </w:p>
    <w:p w14:paraId="2F5131A6" w14:textId="77777777" w:rsidR="0031283C" w:rsidRDefault="0031283C" w:rsidP="0040163F">
      <w:pPr>
        <w:jc w:val="both"/>
        <w:rPr>
          <w:b/>
          <w:sz w:val="20"/>
          <w:szCs w:val="20"/>
        </w:rPr>
      </w:pPr>
      <w:r w:rsidRPr="00AB7A10">
        <w:rPr>
          <w:b/>
          <w:smallCaps/>
          <w:sz w:val="20"/>
          <w:szCs w:val="20"/>
        </w:rPr>
        <w:t>Can an attorney withhold client information from the title insurance company under a claim of privilege?</w:t>
      </w:r>
      <w:r>
        <w:rPr>
          <w:b/>
          <w:sz w:val="20"/>
          <w:szCs w:val="20"/>
        </w:rPr>
        <w:t xml:space="preserve"> </w:t>
      </w:r>
    </w:p>
    <w:p w14:paraId="58EA74B6" w14:textId="34D43914" w:rsidR="0044164F" w:rsidRPr="0044164F" w:rsidRDefault="0031283C" w:rsidP="0040163F">
      <w:pPr>
        <w:jc w:val="both"/>
        <w:rPr>
          <w:b/>
          <w:sz w:val="20"/>
          <w:szCs w:val="20"/>
        </w:rPr>
      </w:pPr>
      <w:r>
        <w:rPr>
          <w:sz w:val="20"/>
          <w:szCs w:val="20"/>
        </w:rPr>
        <w:t xml:space="preserve">No. Information necessary for completing a </w:t>
      </w:r>
      <w:r w:rsidR="001F7132">
        <w:rPr>
          <w:sz w:val="20"/>
          <w:szCs w:val="20"/>
        </w:rPr>
        <w:t>GTO Report</w:t>
      </w:r>
      <w:r>
        <w:rPr>
          <w:sz w:val="20"/>
          <w:szCs w:val="20"/>
        </w:rPr>
        <w:t>, Suspicious Activity Report or other Bank Secrecy Act reporting requirement cannot be withheld from the government due to</w:t>
      </w:r>
      <w:r w:rsidRPr="007B7682">
        <w:rPr>
          <w:sz w:val="20"/>
          <w:szCs w:val="20"/>
        </w:rPr>
        <w:t xml:space="preserve"> attorney-client privilege. See </w:t>
      </w:r>
      <w:r w:rsidRPr="0041053B">
        <w:rPr>
          <w:i/>
          <w:sz w:val="20"/>
          <w:szCs w:val="20"/>
        </w:rPr>
        <w:t>United States v. Goldberger &amp; Dublin, P.C.,</w:t>
      </w:r>
      <w:r w:rsidRPr="007B7682">
        <w:rPr>
          <w:sz w:val="20"/>
          <w:szCs w:val="20"/>
        </w:rPr>
        <w:t xml:space="preserve"> 935 F.2d 501 (2nd Cir. 1991), holding that absent special circumstances, attorneys were required to disclose client information on Forms 8300. See also </w:t>
      </w:r>
      <w:r w:rsidRPr="0041053B">
        <w:rPr>
          <w:i/>
          <w:sz w:val="20"/>
          <w:szCs w:val="20"/>
        </w:rPr>
        <w:t>United States v. Leventhal</w:t>
      </w:r>
      <w:r w:rsidRPr="007B7682">
        <w:rPr>
          <w:sz w:val="20"/>
          <w:szCs w:val="20"/>
        </w:rPr>
        <w:t>, 961 F.2d 936 (11th Cir. 1992</w:t>
      </w:r>
      <w:r>
        <w:rPr>
          <w:sz w:val="20"/>
          <w:szCs w:val="20"/>
        </w:rPr>
        <w:t xml:space="preserve">), holding that </w:t>
      </w:r>
      <w:r w:rsidRPr="007B7682">
        <w:rPr>
          <w:sz w:val="20"/>
          <w:szCs w:val="20"/>
        </w:rPr>
        <w:t>state bar ethical rules do not constitute a “special circumstance” that would protect clients</w:t>
      </w:r>
      <w:r>
        <w:rPr>
          <w:sz w:val="20"/>
          <w:szCs w:val="20"/>
        </w:rPr>
        <w:t>’</w:t>
      </w:r>
      <w:r w:rsidRPr="007B7682">
        <w:rPr>
          <w:sz w:val="20"/>
          <w:szCs w:val="20"/>
        </w:rPr>
        <w:t xml:space="preserve"> names and fee arrangements from disclosure.</w:t>
      </w:r>
    </w:p>
    <w:sectPr w:rsidR="0044164F" w:rsidRPr="0044164F" w:rsidSect="002B16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13B1" w14:textId="77777777" w:rsidR="00C3313F" w:rsidRDefault="00C3313F" w:rsidP="009A70FA">
      <w:pPr>
        <w:spacing w:after="0" w:line="240" w:lineRule="auto"/>
      </w:pPr>
      <w:r>
        <w:separator/>
      </w:r>
    </w:p>
  </w:endnote>
  <w:endnote w:type="continuationSeparator" w:id="0">
    <w:p w14:paraId="08C44D73" w14:textId="77777777" w:rsidR="00C3313F" w:rsidRDefault="00C3313F" w:rsidP="009A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49DA" w14:textId="77777777" w:rsidR="00C3313F" w:rsidRDefault="00C3313F" w:rsidP="009A70FA">
      <w:pPr>
        <w:spacing w:after="0" w:line="240" w:lineRule="auto"/>
      </w:pPr>
      <w:r>
        <w:separator/>
      </w:r>
    </w:p>
  </w:footnote>
  <w:footnote w:type="continuationSeparator" w:id="0">
    <w:p w14:paraId="44C4CCE3" w14:textId="77777777" w:rsidR="00C3313F" w:rsidRDefault="00C3313F" w:rsidP="009A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0852"/>
    <w:multiLevelType w:val="hybridMultilevel"/>
    <w:tmpl w:val="E8F46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771EB"/>
    <w:multiLevelType w:val="hybridMultilevel"/>
    <w:tmpl w:val="C7D26A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2B658AF"/>
    <w:multiLevelType w:val="hybridMultilevel"/>
    <w:tmpl w:val="DE4EED3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784A090A"/>
    <w:multiLevelType w:val="hybridMultilevel"/>
    <w:tmpl w:val="0C2A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FF5"/>
    <w:rsid w:val="0001147C"/>
    <w:rsid w:val="00011561"/>
    <w:rsid w:val="000173B9"/>
    <w:rsid w:val="00022327"/>
    <w:rsid w:val="000266D7"/>
    <w:rsid w:val="000870E0"/>
    <w:rsid w:val="0009406D"/>
    <w:rsid w:val="000E388F"/>
    <w:rsid w:val="00114B7E"/>
    <w:rsid w:val="00116723"/>
    <w:rsid w:val="001338D0"/>
    <w:rsid w:val="0016752E"/>
    <w:rsid w:val="001C04CA"/>
    <w:rsid w:val="001E65EC"/>
    <w:rsid w:val="001F7132"/>
    <w:rsid w:val="00233085"/>
    <w:rsid w:val="00235DF0"/>
    <w:rsid w:val="0026792C"/>
    <w:rsid w:val="00275AB5"/>
    <w:rsid w:val="002804F7"/>
    <w:rsid w:val="0029583F"/>
    <w:rsid w:val="002A270E"/>
    <w:rsid w:val="002B16D8"/>
    <w:rsid w:val="002E3BB3"/>
    <w:rsid w:val="0031283C"/>
    <w:rsid w:val="00322098"/>
    <w:rsid w:val="003267D2"/>
    <w:rsid w:val="00326B37"/>
    <w:rsid w:val="003A7F25"/>
    <w:rsid w:val="003E4266"/>
    <w:rsid w:val="0040163F"/>
    <w:rsid w:val="0041053B"/>
    <w:rsid w:val="0044164F"/>
    <w:rsid w:val="0046106F"/>
    <w:rsid w:val="004C5A95"/>
    <w:rsid w:val="005440B5"/>
    <w:rsid w:val="00550A7A"/>
    <w:rsid w:val="00552BC0"/>
    <w:rsid w:val="005E53A3"/>
    <w:rsid w:val="006060D1"/>
    <w:rsid w:val="006532CB"/>
    <w:rsid w:val="00656531"/>
    <w:rsid w:val="006D6A8E"/>
    <w:rsid w:val="006F741A"/>
    <w:rsid w:val="007173B0"/>
    <w:rsid w:val="007871E8"/>
    <w:rsid w:val="007B7682"/>
    <w:rsid w:val="0084619B"/>
    <w:rsid w:val="00873554"/>
    <w:rsid w:val="00877F65"/>
    <w:rsid w:val="008D51D6"/>
    <w:rsid w:val="008F4EA6"/>
    <w:rsid w:val="0093647D"/>
    <w:rsid w:val="00997939"/>
    <w:rsid w:val="009A70FA"/>
    <w:rsid w:val="009B225D"/>
    <w:rsid w:val="009E2453"/>
    <w:rsid w:val="00A8304A"/>
    <w:rsid w:val="00A83213"/>
    <w:rsid w:val="00AC41FB"/>
    <w:rsid w:val="00AF16E1"/>
    <w:rsid w:val="00AF43DC"/>
    <w:rsid w:val="00B360E0"/>
    <w:rsid w:val="00BC6E9B"/>
    <w:rsid w:val="00BE41D2"/>
    <w:rsid w:val="00C3313F"/>
    <w:rsid w:val="00C3566D"/>
    <w:rsid w:val="00C94CEC"/>
    <w:rsid w:val="00C94DB3"/>
    <w:rsid w:val="00CA59E5"/>
    <w:rsid w:val="00D17266"/>
    <w:rsid w:val="00D747BA"/>
    <w:rsid w:val="00D87855"/>
    <w:rsid w:val="00DC2FF5"/>
    <w:rsid w:val="00DD4EAF"/>
    <w:rsid w:val="00E03106"/>
    <w:rsid w:val="00E11747"/>
    <w:rsid w:val="00E46B2A"/>
    <w:rsid w:val="00EA01BC"/>
    <w:rsid w:val="00EB5774"/>
    <w:rsid w:val="00F81ED4"/>
    <w:rsid w:val="00F87214"/>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2985"/>
  <w15:docId w15:val="{714B655E-8AB7-49E6-A3C0-7DD6F065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5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03106"/>
    <w:rPr>
      <w:b/>
      <w:bCs/>
    </w:rPr>
  </w:style>
  <w:style w:type="character" w:styleId="Hyperlink">
    <w:name w:val="Hyperlink"/>
    <w:uiPriority w:val="99"/>
    <w:unhideWhenUsed/>
    <w:rsid w:val="00E03106"/>
    <w:rPr>
      <w:color w:val="0000FF"/>
      <w:u w:val="single"/>
    </w:rPr>
  </w:style>
  <w:style w:type="character" w:customStyle="1" w:styleId="apple-converted-space">
    <w:name w:val="apple-converted-space"/>
    <w:basedOn w:val="DefaultParagraphFont"/>
    <w:rsid w:val="00E03106"/>
  </w:style>
  <w:style w:type="paragraph" w:styleId="ListParagraph">
    <w:name w:val="List Paragraph"/>
    <w:basedOn w:val="Normal"/>
    <w:uiPriority w:val="34"/>
    <w:qFormat/>
    <w:rsid w:val="00656531"/>
    <w:pPr>
      <w:ind w:left="720"/>
      <w:contextualSpacing/>
    </w:pPr>
  </w:style>
  <w:style w:type="character" w:styleId="CommentReference">
    <w:name w:val="annotation reference"/>
    <w:uiPriority w:val="99"/>
    <w:semiHidden/>
    <w:unhideWhenUsed/>
    <w:rsid w:val="00873554"/>
    <w:rPr>
      <w:sz w:val="16"/>
      <w:szCs w:val="16"/>
    </w:rPr>
  </w:style>
  <w:style w:type="paragraph" w:styleId="CommentText">
    <w:name w:val="annotation text"/>
    <w:basedOn w:val="Normal"/>
    <w:link w:val="CommentTextChar"/>
    <w:uiPriority w:val="99"/>
    <w:semiHidden/>
    <w:unhideWhenUsed/>
    <w:rsid w:val="00873554"/>
    <w:pPr>
      <w:spacing w:line="240" w:lineRule="auto"/>
    </w:pPr>
    <w:rPr>
      <w:sz w:val="20"/>
      <w:szCs w:val="20"/>
    </w:rPr>
  </w:style>
  <w:style w:type="character" w:customStyle="1" w:styleId="CommentTextChar">
    <w:name w:val="Comment Text Char"/>
    <w:link w:val="CommentText"/>
    <w:uiPriority w:val="99"/>
    <w:semiHidden/>
    <w:rsid w:val="00873554"/>
    <w:rPr>
      <w:sz w:val="20"/>
      <w:szCs w:val="20"/>
    </w:rPr>
  </w:style>
  <w:style w:type="paragraph" w:styleId="CommentSubject">
    <w:name w:val="annotation subject"/>
    <w:basedOn w:val="CommentText"/>
    <w:next w:val="CommentText"/>
    <w:link w:val="CommentSubjectChar"/>
    <w:uiPriority w:val="99"/>
    <w:semiHidden/>
    <w:unhideWhenUsed/>
    <w:rsid w:val="00873554"/>
    <w:rPr>
      <w:b/>
      <w:bCs/>
    </w:rPr>
  </w:style>
  <w:style w:type="character" w:customStyle="1" w:styleId="CommentSubjectChar">
    <w:name w:val="Comment Subject Char"/>
    <w:link w:val="CommentSubject"/>
    <w:uiPriority w:val="99"/>
    <w:semiHidden/>
    <w:rsid w:val="00873554"/>
    <w:rPr>
      <w:b/>
      <w:bCs/>
      <w:sz w:val="20"/>
      <w:szCs w:val="20"/>
    </w:rPr>
  </w:style>
  <w:style w:type="paragraph" w:styleId="BalloonText">
    <w:name w:val="Balloon Text"/>
    <w:basedOn w:val="Normal"/>
    <w:link w:val="BalloonTextChar"/>
    <w:uiPriority w:val="99"/>
    <w:semiHidden/>
    <w:unhideWhenUsed/>
    <w:rsid w:val="008735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554"/>
    <w:rPr>
      <w:rFonts w:ascii="Tahoma" w:hAnsi="Tahoma" w:cs="Tahoma"/>
      <w:sz w:val="16"/>
      <w:szCs w:val="16"/>
    </w:rPr>
  </w:style>
  <w:style w:type="table" w:styleId="TableGrid">
    <w:name w:val="Table Grid"/>
    <w:basedOn w:val="TableNormal"/>
    <w:uiPriority w:val="59"/>
    <w:rsid w:val="0002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A70FA"/>
    <w:rPr>
      <w:color w:val="800080"/>
      <w:u w:val="single"/>
    </w:rPr>
  </w:style>
  <w:style w:type="paragraph" w:styleId="Header">
    <w:name w:val="header"/>
    <w:basedOn w:val="Normal"/>
    <w:link w:val="HeaderChar"/>
    <w:uiPriority w:val="99"/>
    <w:semiHidden/>
    <w:unhideWhenUsed/>
    <w:rsid w:val="009A70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70FA"/>
  </w:style>
  <w:style w:type="paragraph" w:styleId="Footer">
    <w:name w:val="footer"/>
    <w:basedOn w:val="Normal"/>
    <w:link w:val="FooterChar"/>
    <w:uiPriority w:val="99"/>
    <w:semiHidden/>
    <w:unhideWhenUsed/>
    <w:rsid w:val="009A70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70FA"/>
  </w:style>
  <w:style w:type="table" w:styleId="LightList-Accent5">
    <w:name w:val="Light List Accent 5"/>
    <w:basedOn w:val="TableNormal"/>
    <w:uiPriority w:val="61"/>
    <w:rsid w:val="00EA01B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UnresolvedMention">
    <w:name w:val="Unresolved Mention"/>
    <w:basedOn w:val="DefaultParagraphFont"/>
    <w:uiPriority w:val="99"/>
    <w:semiHidden/>
    <w:unhideWhenUsed/>
    <w:rsid w:val="00E46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0850">
      <w:bodyDiv w:val="1"/>
      <w:marLeft w:val="0"/>
      <w:marRight w:val="0"/>
      <w:marTop w:val="0"/>
      <w:marBottom w:val="0"/>
      <w:divBdr>
        <w:top w:val="none" w:sz="0" w:space="0" w:color="auto"/>
        <w:left w:val="none" w:sz="0" w:space="0" w:color="auto"/>
        <w:bottom w:val="none" w:sz="0" w:space="0" w:color="auto"/>
        <w:right w:val="none" w:sz="0" w:space="0" w:color="auto"/>
      </w:divBdr>
    </w:div>
    <w:div w:id="12397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cen.gov/sites/default/files/advisory/2017-08-22/Risk%20in%20Real%20Estate%20Advisory_FINAL%20508%20Tuesday%20%28002%29.pdf" TargetMode="External"/><Relationship Id="rId13" Type="http://schemas.openxmlformats.org/officeDocument/2006/relationships/hyperlink" Target="http://bsaefiling.fincen.treas.gov/main.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po.gov/fdsys/pkg/USCODE-2010-title31/html/USCODE-2010-title31-subtitleI-chap3-subchapI-sec3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ta.org/press/release.cfm?r=266" TargetMode="External"/><Relationship Id="rId4" Type="http://schemas.openxmlformats.org/officeDocument/2006/relationships/webSettings" Target="webSettings.xml"/><Relationship Id="rId9" Type="http://schemas.openxmlformats.org/officeDocument/2006/relationships/hyperlink" Target="http://www.alta.org/publications/titlenews/16/v95i02/index.html?utm_source=website&amp;utm_medium=publications&amp;utm_content=list&amp;utm_campaign=DTN_v95i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8120</CharactersWithSpaces>
  <SharedDoc>false</SharedDoc>
  <HLinks>
    <vt:vector size="54" baseType="variant">
      <vt:variant>
        <vt:i4>2228281</vt:i4>
      </vt:variant>
      <vt:variant>
        <vt:i4>24</vt:i4>
      </vt:variant>
      <vt:variant>
        <vt:i4>0</vt:i4>
      </vt:variant>
      <vt:variant>
        <vt:i4>5</vt:i4>
      </vt:variant>
      <vt:variant>
        <vt:lpwstr>https://www.google.com/url?sa=t&amp;rct=j&amp;q=&amp;esrc=s&amp;source=web&amp;cd=1&amp;cad=rja&amp;uact=8&amp;ved=0ahUKEwjWrPDd5bjKAhULqx4KHRpXBE0QFggcMAA&amp;url=https%3A%2F%2Fwww.irs.gov%2Fpub%2Firs-pdf%2Ff8300.pdf&amp;usg=AFQjCNEUCuMK38JROcDpVnQobKg8Q-50AQ&amp;sig2=utCcjNf2EE0lTzt-FkToJg&amp;bvm=bv.</vt:lpwstr>
      </vt:variant>
      <vt:variant>
        <vt:lpwstr/>
      </vt:variant>
      <vt:variant>
        <vt:i4>8323199</vt:i4>
      </vt:variant>
      <vt:variant>
        <vt:i4>21</vt:i4>
      </vt:variant>
      <vt:variant>
        <vt:i4>0</vt:i4>
      </vt:variant>
      <vt:variant>
        <vt:i4>5</vt:i4>
      </vt:variant>
      <vt:variant>
        <vt:lpwstr>http://www.alta.org/fincen/Geographic_Targeting_Order_Covering_Title_Insurance_Companies.pdf</vt:lpwstr>
      </vt:variant>
      <vt:variant>
        <vt:lpwstr/>
      </vt:variant>
      <vt:variant>
        <vt:i4>2686993</vt:i4>
      </vt:variant>
      <vt:variant>
        <vt:i4>18</vt:i4>
      </vt:variant>
      <vt:variant>
        <vt:i4>0</vt:i4>
      </vt:variant>
      <vt:variant>
        <vt:i4>5</vt:i4>
      </vt:variant>
      <vt:variant>
        <vt:lpwstr>https://www.fincen.gov/news_room/nr/files/Title_Ins_GTO_Table_072716.pdf</vt:lpwstr>
      </vt:variant>
      <vt:variant>
        <vt:lpwstr/>
      </vt:variant>
      <vt:variant>
        <vt:i4>2228281</vt:i4>
      </vt:variant>
      <vt:variant>
        <vt:i4>15</vt:i4>
      </vt:variant>
      <vt:variant>
        <vt:i4>0</vt:i4>
      </vt:variant>
      <vt:variant>
        <vt:i4>5</vt:i4>
      </vt:variant>
      <vt:variant>
        <vt:lpwstr>https://www.google.com/url?sa=t&amp;rct=j&amp;q=&amp;esrc=s&amp;source=web&amp;cd=1&amp;cad=rja&amp;uact=8&amp;ved=0ahUKEwjWrPDd5bjKAhULqx4KHRpXBE0QFggcMAA&amp;url=https%3A%2F%2Fwww.irs.gov%2Fpub%2Firs-pdf%2Ff8300.pdf&amp;usg=AFQjCNEUCuMK38JROcDpVnQobKg8Q-50AQ&amp;sig2=utCcjNf2EE0lTzt-FkToJg&amp;bvm=bv.</vt:lpwstr>
      </vt:variant>
      <vt:variant>
        <vt:lpwstr/>
      </vt:variant>
      <vt:variant>
        <vt:i4>4390915</vt:i4>
      </vt:variant>
      <vt:variant>
        <vt:i4>12</vt:i4>
      </vt:variant>
      <vt:variant>
        <vt:i4>0</vt:i4>
      </vt:variant>
      <vt:variant>
        <vt:i4>5</vt:i4>
      </vt:variant>
      <vt:variant>
        <vt:lpwstr>http://www.gpo.gov/fdsys/pkg/USCODE-2010-title31/html/USCODE-2010-title31-subtitleI-chap3-subchapI-sec310.htm</vt:lpwstr>
      </vt:variant>
      <vt:variant>
        <vt:lpwstr/>
      </vt:variant>
      <vt:variant>
        <vt:i4>7077991</vt:i4>
      </vt:variant>
      <vt:variant>
        <vt:i4>9</vt:i4>
      </vt:variant>
      <vt:variant>
        <vt:i4>0</vt:i4>
      </vt:variant>
      <vt:variant>
        <vt:i4>5</vt:i4>
      </vt:variant>
      <vt:variant>
        <vt:lpwstr>http://www.alta.org/press/release.cfm?r=266</vt:lpwstr>
      </vt:variant>
      <vt:variant>
        <vt:lpwstr/>
      </vt:variant>
      <vt:variant>
        <vt:i4>6750302</vt:i4>
      </vt:variant>
      <vt:variant>
        <vt:i4>6</vt:i4>
      </vt:variant>
      <vt:variant>
        <vt:i4>0</vt:i4>
      </vt:variant>
      <vt:variant>
        <vt:i4>5</vt:i4>
      </vt:variant>
      <vt:variant>
        <vt:lpwstr>http://www.alta.org/publications/titlenews/16/v95i02/index.html?utm_source=website&amp;utm_medium=publications&amp;utm_content=list&amp;utm_campaign=DTN_v95i02</vt:lpwstr>
      </vt:variant>
      <vt:variant>
        <vt:lpwstr/>
      </vt:variant>
      <vt:variant>
        <vt:i4>1507388</vt:i4>
      </vt:variant>
      <vt:variant>
        <vt:i4>3</vt:i4>
      </vt:variant>
      <vt:variant>
        <vt:i4>0</vt:i4>
      </vt:variant>
      <vt:variant>
        <vt:i4>5</vt:i4>
      </vt:variant>
      <vt:variant>
        <vt:lpwstr>https://www.fincen.gov/news_room/nr/html/20160727.html</vt:lpwstr>
      </vt:variant>
      <vt:variant>
        <vt:lpwstr/>
      </vt:variant>
      <vt:variant>
        <vt:i4>5636208</vt:i4>
      </vt:variant>
      <vt:variant>
        <vt:i4>0</vt:i4>
      </vt:variant>
      <vt:variant>
        <vt:i4>0</vt:i4>
      </vt:variant>
      <vt:variant>
        <vt:i4>5</vt:i4>
      </vt:variant>
      <vt:variant>
        <vt:lpwstr>https://www.fincen.gov/news_room/nr/files/Title_Ins_GTO_Sample_072716.pdf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Gottheim</dc:creator>
  <cp:lastModifiedBy>Steve Gottheim</cp:lastModifiedBy>
  <cp:revision>3</cp:revision>
  <cp:lastPrinted>2016-01-27T19:19:00Z</cp:lastPrinted>
  <dcterms:created xsi:type="dcterms:W3CDTF">2018-06-13T18:27:00Z</dcterms:created>
  <dcterms:modified xsi:type="dcterms:W3CDTF">2018-06-13T18:32:00Z</dcterms:modified>
</cp:coreProperties>
</file>